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78" w:lineRule="auto"/>
        <w:ind w:left="-2" w:right="-2"/>
        <w:rPr>
          <w:rFonts w:ascii="Times New Roman" w:hAnsi="Times New Roman" w:eastAsia="Times New Roman" w:cs="Times New Roman"/>
          <w:b/>
          <w:bCs/>
          <w:sz w:val="28"/>
          <w:szCs w:val="28"/>
        </w:rPr>
      </w:pPr>
      <w:r>
        <w:rPr>
          <w:rFonts w:ascii="Times New Roman" w:hAnsi="Times New Roman" w:eastAsia="Times New Roman" w:cs="Times New Roman"/>
          <w:b/>
          <w:bCs/>
          <w:sz w:val="28"/>
          <w:szCs w:val="28"/>
        </w:rPr>
        <w:t xml:space="preserve">3GPP TSG RAN WG1 #118-bis </w:t>
      </w:r>
      <w:r>
        <w:rPr>
          <w:rFonts w:ascii="Times New Roman" w:hAnsi="Times New Roman" w:eastAsia="Times New Roman" w:cs="Times New Roman"/>
          <w:b/>
          <w:bCs/>
          <w:sz w:val="22"/>
          <w:szCs w:val="22"/>
        </w:rPr>
        <w:t xml:space="preserve">                                                            </w:t>
      </w:r>
      <w:r>
        <w:rPr>
          <w:rFonts w:ascii="Times New Roman" w:hAnsi="Times New Roman" w:eastAsia="Times New Roman" w:cs="Times New Roman"/>
          <w:b/>
          <w:bCs/>
          <w:sz w:val="28"/>
          <w:szCs w:val="28"/>
        </w:rPr>
        <w:t xml:space="preserve">   R1-2408929</w:t>
      </w:r>
    </w:p>
    <w:p>
      <w:pPr>
        <w:spacing w:before="240" w:after="0" w:line="278" w:lineRule="auto"/>
        <w:ind w:left="-2"/>
        <w:rPr>
          <w:rFonts w:ascii="Times New Roman" w:hAnsi="Times New Roman" w:eastAsia="Times New Roman" w:cs="Times New Roman"/>
          <w:b/>
          <w:bCs/>
          <w:sz w:val="28"/>
          <w:szCs w:val="28"/>
        </w:rPr>
      </w:pPr>
      <w:r>
        <w:rPr>
          <w:rFonts w:ascii="Times New Roman" w:hAnsi="Times New Roman" w:eastAsia="Times New Roman" w:cs="Times New Roman"/>
          <w:b/>
          <w:bCs/>
          <w:sz w:val="28"/>
          <w:szCs w:val="28"/>
        </w:rPr>
        <w:t>Hefei, China October 14</w:t>
      </w:r>
      <w:r>
        <w:rPr>
          <w:rFonts w:ascii="Times New Roman" w:hAnsi="Times New Roman" w:eastAsia="Times New Roman" w:cs="Times New Roman"/>
          <w:b/>
          <w:bCs/>
          <w:sz w:val="28"/>
          <w:szCs w:val="28"/>
          <w:vertAlign w:val="superscript"/>
        </w:rPr>
        <w:t>th</w:t>
      </w:r>
      <w:r>
        <w:rPr>
          <w:rFonts w:ascii="Times New Roman" w:hAnsi="Times New Roman" w:eastAsia="Times New Roman" w:cs="Times New Roman"/>
          <w:b/>
          <w:bCs/>
          <w:sz w:val="28"/>
          <w:szCs w:val="28"/>
        </w:rPr>
        <w:t xml:space="preserve"> – 18</w:t>
      </w:r>
      <w:r>
        <w:rPr>
          <w:rFonts w:ascii="Times New Roman" w:hAnsi="Times New Roman" w:eastAsia="Times New Roman" w:cs="Times New Roman"/>
          <w:b/>
          <w:bCs/>
          <w:sz w:val="28"/>
          <w:szCs w:val="28"/>
          <w:vertAlign w:val="superscript"/>
        </w:rPr>
        <w:t>th</w:t>
      </w:r>
      <w:r>
        <w:rPr>
          <w:rFonts w:ascii="Times New Roman" w:hAnsi="Times New Roman" w:eastAsia="Times New Roman" w:cs="Times New Roman"/>
          <w:b/>
          <w:bCs/>
          <w:sz w:val="28"/>
          <w:szCs w:val="28"/>
        </w:rPr>
        <w:t>, 2024</w:t>
      </w:r>
    </w:p>
    <w:p>
      <w:pPr>
        <w:spacing w:after="0" w:line="278" w:lineRule="auto"/>
        <w:rPr>
          <w:rFonts w:ascii="Times New Roman" w:hAnsi="Times New Roman" w:eastAsia="Times New Roman" w:cs="Times New Roman"/>
          <w:sz w:val="22"/>
          <w:szCs w:val="22"/>
        </w:rPr>
      </w:pPr>
      <w:r>
        <w:rPr>
          <w:rFonts w:ascii="Times New Roman" w:hAnsi="Times New Roman" w:eastAsia="Times New Roman" w:cs="Times New Roman"/>
          <w:sz w:val="22"/>
          <w:szCs w:val="22"/>
        </w:rPr>
        <w:t xml:space="preserve"> </w:t>
      </w:r>
    </w:p>
    <w:p>
      <w:pPr>
        <w:spacing w:after="0" w:line="278" w:lineRule="auto"/>
        <w:rPr>
          <w:rFonts w:ascii="Times New Roman" w:hAnsi="Times New Roman" w:eastAsia="Times New Roman" w:cs="Times New Roman"/>
          <w:b/>
          <w:bCs/>
          <w:sz w:val="28"/>
          <w:szCs w:val="28"/>
        </w:rPr>
      </w:pPr>
      <w:r>
        <w:rPr>
          <w:rFonts w:ascii="Times New Roman" w:hAnsi="Times New Roman" w:eastAsia="Times New Roman" w:cs="Times New Roman"/>
          <w:b/>
          <w:bCs/>
          <w:sz w:val="28"/>
          <w:szCs w:val="28"/>
        </w:rPr>
        <w:t>Source:</w:t>
      </w:r>
      <w:r>
        <w:tab/>
      </w:r>
      <w:r>
        <w:rPr>
          <w:rFonts w:ascii="Times New Roman" w:hAnsi="Times New Roman" w:eastAsia="Times New Roman" w:cs="Times New Roman"/>
          <w:b/>
          <w:bCs/>
          <w:sz w:val="28"/>
          <w:szCs w:val="28"/>
        </w:rPr>
        <w:t xml:space="preserve">           CEWiT</w:t>
      </w:r>
    </w:p>
    <w:p>
      <w:pPr>
        <w:spacing w:after="0" w:line="278" w:lineRule="auto"/>
        <w:rPr>
          <w:rFonts w:ascii="Times New Roman" w:hAnsi="Times New Roman" w:eastAsia="Times New Roman" w:cs="Times New Roman"/>
          <w:b/>
          <w:bCs/>
          <w:sz w:val="28"/>
          <w:szCs w:val="28"/>
        </w:rPr>
      </w:pPr>
      <w:r>
        <w:rPr>
          <w:rFonts w:ascii="Times New Roman" w:hAnsi="Times New Roman" w:eastAsia="Times New Roman" w:cs="Times New Roman"/>
          <w:b/>
          <w:bCs/>
          <w:sz w:val="28"/>
          <w:szCs w:val="28"/>
        </w:rPr>
        <w:t>Title:</w:t>
      </w:r>
      <w:r>
        <w:tab/>
      </w:r>
      <w:r>
        <w:rPr>
          <w:rFonts w:ascii="Times New Roman" w:hAnsi="Times New Roman" w:eastAsia="Times New Roman" w:cs="Times New Roman"/>
          <w:b/>
          <w:bCs/>
          <w:sz w:val="28"/>
          <w:szCs w:val="28"/>
        </w:rPr>
        <w:t xml:space="preserve">                    Discussion on CLI handling</w:t>
      </w:r>
    </w:p>
    <w:p>
      <w:pPr>
        <w:spacing w:after="0" w:line="278" w:lineRule="auto"/>
        <w:rPr>
          <w:rFonts w:ascii="Times New Roman" w:hAnsi="Times New Roman" w:eastAsia="Times New Roman" w:cs="Times New Roman"/>
          <w:b/>
          <w:bCs/>
          <w:sz w:val="28"/>
          <w:szCs w:val="28"/>
        </w:rPr>
      </w:pPr>
      <w:r>
        <w:rPr>
          <w:rFonts w:ascii="Times New Roman" w:hAnsi="Times New Roman" w:eastAsia="Times New Roman" w:cs="Times New Roman"/>
          <w:b/>
          <w:bCs/>
          <w:sz w:val="28"/>
          <w:szCs w:val="28"/>
        </w:rPr>
        <w:t>Agenda Item:</w:t>
      </w:r>
      <w:r>
        <w:tab/>
      </w:r>
      <w:r>
        <w:rPr>
          <w:rFonts w:ascii="Times New Roman" w:hAnsi="Times New Roman" w:eastAsia="Times New Roman" w:cs="Times New Roman"/>
          <w:b/>
          <w:bCs/>
          <w:sz w:val="28"/>
          <w:szCs w:val="28"/>
        </w:rPr>
        <w:t xml:space="preserve">  9.3.3</w:t>
      </w:r>
    </w:p>
    <w:p>
      <w:pPr>
        <w:spacing w:after="0" w:line="278" w:lineRule="auto"/>
        <w:rPr>
          <w:rFonts w:ascii="Times New Roman" w:hAnsi="Times New Roman" w:eastAsia="Times New Roman" w:cs="Times New Roman"/>
          <w:b/>
          <w:bCs/>
          <w:sz w:val="28"/>
          <w:szCs w:val="28"/>
        </w:rPr>
      </w:pPr>
      <w:r>
        <w:rPr>
          <w:rFonts w:ascii="Times New Roman" w:hAnsi="Times New Roman" w:eastAsia="Times New Roman" w:cs="Times New Roman"/>
          <w:b/>
          <w:bCs/>
          <w:sz w:val="28"/>
          <w:szCs w:val="28"/>
        </w:rPr>
        <w:t>Document for:     Discussion and Decision</w:t>
      </w:r>
    </w:p>
    <w:p>
      <w:pPr>
        <w:pBdr>
          <w:bottom w:val="single" w:color="000000" w:sz="8" w:space="0"/>
        </w:pBdr>
        <w:spacing w:after="120" w:line="278" w:lineRule="auto"/>
        <w:rPr>
          <w:rFonts w:ascii="Times New Roman" w:hAnsi="Times New Roman" w:eastAsia="Times New Roman" w:cs="Times New Roman"/>
          <w:b/>
          <w:bCs/>
          <w:sz w:val="28"/>
          <w:szCs w:val="28"/>
        </w:rPr>
      </w:pPr>
      <w:r>
        <w:rPr>
          <w:rFonts w:ascii="Times New Roman" w:hAnsi="Times New Roman" w:eastAsia="Times New Roman" w:cs="Times New Roman"/>
          <w:b/>
          <w:bCs/>
          <w:sz w:val="28"/>
          <w:szCs w:val="28"/>
        </w:rPr>
        <w:t xml:space="preserve"> </w:t>
      </w:r>
    </w:p>
    <w:p>
      <w:pPr>
        <w:pStyle w:val="2"/>
      </w:pPr>
      <w:r>
        <w:rPr>
          <w:rFonts w:eastAsia="Times New Roman"/>
        </w:rPr>
        <w:t xml:space="preserve">1. </w:t>
      </w:r>
      <w:r>
        <w:t>Introduction</w:t>
      </w:r>
    </w:p>
    <w:p>
      <w:pPr>
        <w:spacing w:before="120" w:after="0"/>
        <w:jc w:val="both"/>
        <w:rPr>
          <w:rFonts w:ascii="Times New Roman" w:hAnsi="Times New Roman" w:eastAsia="Times New Roman" w:cs="Times New Roman"/>
        </w:rPr>
      </w:pPr>
      <w:r>
        <w:rPr>
          <w:rFonts w:ascii="Times New Roman" w:hAnsi="Times New Roman" w:eastAsia="Times New Roman" w:cs="Times New Roman"/>
          <w:color w:val="000000" w:themeColor="text1" w:themeTint="FF"/>
          <w14:textFill>
            <w14:solidFill>
              <w14:schemeClr w14:val="tx1">
                <w14:lumMod w14:val="100000"/>
                <w14:lumOff w14:val="0"/>
              </w14:schemeClr>
            </w14:solidFill>
          </w14:textFill>
        </w:rPr>
        <w:t xml:space="preserve">This contribution discusses various aspects related to handling UE-to-UE co-channel CLI. Also, it provides the details of the schemes based on the agreements in RAN#118 meeting [1]. </w:t>
      </w:r>
    </w:p>
    <w:p>
      <w:pPr>
        <w:pStyle w:val="2"/>
        <w:rPr>
          <w:rFonts w:eastAsia="Times New Roman"/>
        </w:rPr>
      </w:pPr>
      <w:r>
        <w:rPr>
          <w:rFonts w:eastAsia="Times New Roman"/>
        </w:rPr>
        <w:t>2.  L1 based UE-to-UE CLI measurement and reporting</w:t>
      </w:r>
    </w:p>
    <w:p>
      <w:pPr>
        <w:pStyle w:val="3"/>
        <w:rPr>
          <w:rFonts w:eastAsia="Times New Roman"/>
        </w:rPr>
      </w:pPr>
      <w:r>
        <w:rPr>
          <w:rFonts w:eastAsia="Times New Roman"/>
        </w:rPr>
        <w:t xml:space="preserve">2.1 CLI Measurement </w:t>
      </w:r>
    </w:p>
    <w:p>
      <w:pPr>
        <w:spacing w:before="120" w:after="120" w:line="274" w:lineRule="auto"/>
        <w:jc w:val="both"/>
        <w:rPr>
          <w:rFonts w:ascii="Times New Roman" w:hAnsi="Times New Roman" w:eastAsia="Times New Roman" w:cs="Times New Roman"/>
          <w:sz w:val="20"/>
          <w:szCs w:val="20"/>
        </w:rPr>
      </w:pPr>
      <w:r>
        <w:rPr>
          <w:rFonts w:ascii="Times New Roman" w:hAnsi="Times New Roman" w:eastAsia="Times New Roman" w:cs="Times New Roman"/>
        </w:rPr>
        <w:t>In the RAN1#118 meeting, the following was agreed</w:t>
      </w:r>
      <w:r>
        <w:rPr>
          <w:rFonts w:ascii="Times New Roman" w:hAnsi="Times New Roman" w:eastAsia="Times New Roman" w:cs="Times New Roman"/>
          <w:sz w:val="20"/>
          <w:szCs w:val="20"/>
        </w:rPr>
        <w:t>.</w:t>
      </w:r>
    </w:p>
    <w:p>
      <w:pPr>
        <w:spacing w:before="120" w:after="120" w:line="274" w:lineRule="auto"/>
        <w:jc w:val="both"/>
        <w:rPr>
          <w:rFonts w:ascii="Times New Roman" w:hAnsi="Times New Roman" w:eastAsia="Times New Roman" w:cs="Times New Roman"/>
          <w:sz w:val="20"/>
          <w:szCs w:val="20"/>
        </w:rPr>
      </w:pPr>
    </w:p>
    <w:tbl>
      <w:tblPr>
        <w:tblStyle w:val="18"/>
        <w:tblW w:w="9360"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36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9360" w:type="dxa"/>
          </w:tcPr>
          <w:p>
            <w:pPr>
              <w:spacing w:after="0" w:line="240" w:lineRule="auto"/>
              <w:rPr>
                <w:rFonts w:ascii="Times New Roman" w:hAnsi="Times New Roman" w:eastAsia="Times New Roman" w:cs="Times New Roman"/>
                <w:b/>
                <w:bCs/>
                <w:highlight w:val="green"/>
              </w:rPr>
            </w:pPr>
            <w:r>
              <w:rPr>
                <w:rFonts w:ascii="Times New Roman" w:hAnsi="Times New Roman" w:eastAsia="Times New Roman" w:cs="Times New Roman"/>
                <w:b/>
                <w:bCs/>
                <w:highlight w:val="green"/>
              </w:rPr>
              <w:t>Agreement</w:t>
            </w:r>
          </w:p>
          <w:p>
            <w:pPr>
              <w:spacing w:after="0" w:line="240" w:lineRule="auto"/>
              <w:rPr>
                <w:rFonts w:ascii="Times New Roman" w:hAnsi="Times New Roman" w:eastAsia="Times New Roman" w:cs="Times New Roman"/>
              </w:rPr>
            </w:pPr>
            <w:r>
              <w:rPr>
                <w:rFonts w:ascii="Times New Roman" w:hAnsi="Times New Roman" w:eastAsia="Times New Roman" w:cs="Times New Roman"/>
              </w:rPr>
              <w:t>For L1 UE-to-UE CLI measurement and reporting, CLI measurements is performed within the active DL BWP and the following are supported</w:t>
            </w:r>
          </w:p>
          <w:p>
            <w:pPr>
              <w:pStyle w:val="36"/>
              <w:numPr>
                <w:ilvl w:val="0"/>
                <w:numId w:val="1"/>
              </w:numPr>
              <w:spacing w:after="0" w:line="240" w:lineRule="auto"/>
              <w:jc w:val="both"/>
              <w:rPr>
                <w:rFonts w:ascii="Times New Roman" w:hAnsi="Times New Roman" w:eastAsia="Times New Roman" w:cs="Times New Roman"/>
              </w:rPr>
            </w:pPr>
            <w:r>
              <w:rPr>
                <w:rFonts w:ascii="Times New Roman" w:hAnsi="Times New Roman" w:eastAsia="Times New Roman" w:cs="Times New Roman"/>
              </w:rPr>
              <w:t>Method#1: UE measures RSSI within DL subband</w:t>
            </w:r>
          </w:p>
          <w:p>
            <w:pPr>
              <w:pStyle w:val="36"/>
              <w:numPr>
                <w:ilvl w:val="0"/>
                <w:numId w:val="1"/>
              </w:numPr>
              <w:spacing w:after="0" w:line="240" w:lineRule="auto"/>
              <w:jc w:val="both"/>
              <w:rPr>
                <w:rFonts w:ascii="Times New Roman" w:hAnsi="Times New Roman" w:eastAsia="Times New Roman" w:cs="Times New Roman"/>
              </w:rPr>
            </w:pPr>
            <w:r>
              <w:rPr>
                <w:rFonts w:ascii="Times New Roman" w:hAnsi="Times New Roman" w:eastAsia="Times New Roman" w:cs="Times New Roman"/>
              </w:rPr>
              <w:t>Method#2: UE measures RSRP of aggressor UE within UL subband</w:t>
            </w:r>
          </w:p>
          <w:p>
            <w:pPr>
              <w:pStyle w:val="36"/>
              <w:numPr>
                <w:ilvl w:val="0"/>
                <w:numId w:val="1"/>
              </w:numPr>
              <w:spacing w:after="0" w:line="240" w:lineRule="auto"/>
              <w:jc w:val="both"/>
              <w:rPr>
                <w:rFonts w:ascii="Times New Roman" w:hAnsi="Times New Roman" w:eastAsia="Times New Roman" w:cs="Times New Roman"/>
              </w:rPr>
            </w:pPr>
            <w:r>
              <w:rPr>
                <w:rFonts w:ascii="Times New Roman" w:hAnsi="Times New Roman" w:eastAsia="Times New Roman" w:cs="Times New Roman"/>
              </w:rPr>
              <w:t>FFS: Method#3: UE measures RSSI within UL subband</w:t>
            </w:r>
          </w:p>
          <w:p>
            <w:pPr>
              <w:spacing w:after="0" w:line="240" w:lineRule="auto"/>
              <w:rPr>
                <w:rFonts w:ascii="Times New Roman" w:hAnsi="Times New Roman" w:eastAsia="Times New Roman" w:cs="Times New Roman"/>
                <w:b/>
                <w:bCs/>
                <w:sz w:val="28"/>
                <w:szCs w:val="28"/>
              </w:rPr>
            </w:pPr>
          </w:p>
        </w:tc>
      </w:tr>
    </w:tbl>
    <w:p>
      <w:pPr>
        <w:spacing w:after="0"/>
        <w:jc w:val="both"/>
        <w:rPr>
          <w:rFonts w:ascii="Times New Roman" w:hAnsi="Times New Roman" w:eastAsia="Times New Roman" w:cs="Times New Roman"/>
          <w:b/>
          <w:bCs/>
        </w:rPr>
      </w:pPr>
    </w:p>
    <w:p>
      <w:pPr>
        <w:spacing w:before="120" w:after="120" w:line="274" w:lineRule="auto"/>
        <w:jc w:val="both"/>
        <w:rPr>
          <w:rFonts w:ascii="Times New Roman" w:hAnsi="Times New Roman" w:eastAsia="Times New Roman" w:cs="Times New Roman"/>
        </w:rPr>
      </w:pPr>
      <w:r>
        <w:rPr>
          <w:rFonts w:ascii="Times New Roman" w:hAnsi="Times New Roman" w:eastAsia="Times New Roman" w:cs="Times New Roman"/>
        </w:rPr>
        <w:t>When SBFD is enabled in the network, the UE-UE CLI is from the transmissions in uplink subband from one UE (aggressor UE) to the receptions in downlink subband of another UE (victim UE). The simplest solution of CLI measurement is victim UE measuring RSSI in downlink subband (Method#1), which doesn’t need any SRS transmission from aggressor or coordination among UEs.  The measured CLI-RSSI value in the DL subband provides an indication about the actual interference encountered and interference leakage into adjacent subbands due to SBFD. However, RSSI measurement in downlink subband only provide CLI strength and does not provide any information about the aggressor UE. Therefore, controlling aggressors to minimize interference is not possible with Method #1. To know the details about the aggressor (e.g., aggressor UE ID) and CLI received power or signal strength, RSRP on SRS needs to be measured (Method #2), which require signaling of SRS configuration to aggressor and victim UEs, SRS transmission by the aggressor UE, and measurement of the SRS in the uplink subband. Therefore, Method #2 is much more complex and requires additional signaling and coordination compared to Method #1. An alternate method to determine information about the aggressor UE with lower complexity is measurement of the RSSI in the uplink subband (Method#3). Here, the victim UE measures RSSI in the set of resources where the actual transmission is happening and the scheduling in the set of resources can provide information about the aggressor UE. As mentioned before, RSSI is a relatively simple and straightforward metric, which doesn’t require much configuration exchanges, SRS transmission and coordination among nodes.</w:t>
      </w:r>
    </w:p>
    <w:p>
      <w:pPr>
        <w:spacing w:before="120" w:after="120" w:line="274" w:lineRule="auto"/>
        <w:jc w:val="both"/>
        <w:rPr>
          <w:rFonts w:ascii="Times New Roman" w:hAnsi="Times New Roman" w:eastAsia="Times New Roman" w:cs="Times New Roman"/>
        </w:rPr>
      </w:pPr>
    </w:p>
    <w:p>
      <w:pPr>
        <w:spacing w:before="120" w:after="120" w:line="274" w:lineRule="auto"/>
        <w:jc w:val="both"/>
        <w:rPr>
          <w:rFonts w:ascii="Times New Roman" w:hAnsi="Times New Roman" w:eastAsia="Times New Roman" w:cs="Times New Roman"/>
          <w:b/>
          <w:bCs/>
          <w:i/>
          <w:iCs/>
        </w:rPr>
      </w:pPr>
      <w:r>
        <w:rPr>
          <w:rFonts w:ascii="Times New Roman" w:hAnsi="Times New Roman" w:eastAsia="Times New Roman" w:cs="Times New Roman"/>
          <w:b/>
          <w:bCs/>
          <w:i/>
          <w:iCs/>
        </w:rPr>
        <w:t>Observation 1: RSSI measurement within UL subband (Method #3) is an easier way to identify/obtain information about the aggressor UE, compared to Method #2, without complex configuration exchanges, SRS transmission and coordination among nodes</w:t>
      </w:r>
    </w:p>
    <w:p>
      <w:pPr>
        <w:spacing w:after="120"/>
        <w:jc w:val="both"/>
        <w:rPr>
          <w:rFonts w:ascii="Times New Roman" w:hAnsi="Times New Roman" w:eastAsia="Times New Roman" w:cs="Times New Roman"/>
          <w:b/>
          <w:bCs/>
          <w:i/>
          <w:iCs/>
        </w:rPr>
      </w:pPr>
      <w:r>
        <w:rPr>
          <w:rFonts w:ascii="Times New Roman" w:hAnsi="Times New Roman" w:eastAsia="Times New Roman" w:cs="Times New Roman"/>
          <w:b/>
          <w:bCs/>
          <w:i/>
          <w:iCs/>
        </w:rPr>
        <w:t>Proposal 1: For L1 UE-to-UE CLI measurement and reporting, RSSI measurement within UL subband (Method#3) is supported.</w:t>
      </w:r>
    </w:p>
    <w:p>
      <w:pPr>
        <w:spacing w:before="120" w:after="120" w:line="274" w:lineRule="auto"/>
        <w:jc w:val="both"/>
        <w:rPr>
          <w:rFonts w:ascii="Times New Roman" w:hAnsi="Times New Roman" w:eastAsia="Times New Roman" w:cs="Times New Roman"/>
        </w:rPr>
      </w:pPr>
    </w:p>
    <w:p>
      <w:pPr>
        <w:pStyle w:val="3"/>
        <w:rPr>
          <w:rFonts w:eastAsia="Times New Roman"/>
        </w:rPr>
      </w:pPr>
      <w:r>
        <w:rPr>
          <w:rFonts w:eastAsia="Times New Roman"/>
        </w:rPr>
        <w:t xml:space="preserve">2.2 CLI Reporting </w:t>
      </w:r>
    </w:p>
    <w:p>
      <w:pPr>
        <w:pStyle w:val="4"/>
        <w:rPr>
          <w:rFonts w:eastAsia="Times New Roman"/>
        </w:rPr>
      </w:pPr>
      <w:r>
        <w:rPr>
          <w:rFonts w:eastAsia="Times New Roman"/>
        </w:rPr>
        <w:t xml:space="preserve">2.2.1 Reporting in Time domain </w:t>
      </w:r>
    </w:p>
    <w:p>
      <w:pPr>
        <w:spacing w:after="120"/>
        <w:jc w:val="both"/>
        <w:rPr>
          <w:rFonts w:ascii="Times New Roman" w:hAnsi="Times New Roman" w:eastAsia="Times New Roman" w:cs="Times New Roman"/>
        </w:rPr>
      </w:pPr>
      <w:r>
        <w:rPr>
          <w:rFonts w:ascii="Times New Roman" w:hAnsi="Times New Roman" w:eastAsia="Times New Roman" w:cs="Times New Roman"/>
        </w:rPr>
        <w:t>Regarding the type of CLI reporting, following proposal was discussed in RAN#118 [2] without consensus:</w:t>
      </w:r>
    </w:p>
    <w:tbl>
      <w:tblPr>
        <w:tblStyle w:val="18"/>
        <w:tblW w:w="9360"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36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9360" w:type="dxa"/>
          </w:tcPr>
          <w:p>
            <w:pPr>
              <w:spacing w:after="0" w:line="240" w:lineRule="auto"/>
              <w:rPr>
                <w:rFonts w:ascii="Times New Roman" w:hAnsi="Times New Roman" w:eastAsia="Times New Roman" w:cs="Times New Roman"/>
              </w:rPr>
            </w:pPr>
            <w:r>
              <w:rPr>
                <w:rFonts w:ascii="Times New Roman" w:hAnsi="Times New Roman" w:eastAsia="Times New Roman" w:cs="Times New Roman"/>
                <w:highlight w:val="yellow"/>
              </w:rPr>
              <w:t>Proposal 2-3</w:t>
            </w:r>
          </w:p>
          <w:p>
            <w:pPr>
              <w:spacing w:after="0" w:line="240" w:lineRule="auto"/>
              <w:rPr>
                <w:rFonts w:ascii="Times New Roman" w:hAnsi="Times New Roman" w:eastAsia="Times New Roman" w:cs="Times New Roman"/>
              </w:rPr>
            </w:pPr>
            <w:r>
              <w:rPr>
                <w:rFonts w:ascii="Times New Roman" w:hAnsi="Times New Roman" w:eastAsia="Times New Roman" w:cs="Times New Roman"/>
              </w:rPr>
              <w:t>For L1 UE-to-UE CLI measurement and reporting, at least the following are supported</w:t>
            </w:r>
          </w:p>
          <w:p>
            <w:pPr>
              <w:pStyle w:val="36"/>
              <w:numPr>
                <w:ilvl w:val="0"/>
                <w:numId w:val="2"/>
              </w:numPr>
              <w:spacing w:after="0" w:line="240" w:lineRule="auto"/>
              <w:rPr>
                <w:rFonts w:ascii="Times New Roman" w:hAnsi="Times New Roman" w:eastAsia="Times New Roman" w:cs="Times New Roman"/>
              </w:rPr>
            </w:pPr>
            <w:r>
              <w:rPr>
                <w:rFonts w:ascii="Times New Roman" w:hAnsi="Times New Roman" w:eastAsia="Times New Roman" w:cs="Times New Roman"/>
              </w:rPr>
              <w:t>Aperiodic CLI reporting on PUSCH</w:t>
            </w:r>
          </w:p>
          <w:p>
            <w:pPr>
              <w:pStyle w:val="36"/>
              <w:numPr>
                <w:ilvl w:val="0"/>
                <w:numId w:val="2"/>
              </w:numPr>
              <w:spacing w:after="0" w:line="240" w:lineRule="auto"/>
              <w:rPr>
                <w:rFonts w:ascii="Times New Roman" w:hAnsi="Times New Roman" w:eastAsia="Times New Roman" w:cs="Times New Roman"/>
              </w:rPr>
            </w:pPr>
            <w:r>
              <w:rPr>
                <w:rFonts w:ascii="Times New Roman" w:hAnsi="Times New Roman" w:eastAsia="Times New Roman" w:cs="Times New Roman"/>
              </w:rPr>
              <w:t xml:space="preserve"> Periodic CLI reporting on PUCCH</w:t>
            </w:r>
          </w:p>
          <w:p>
            <w:pPr>
              <w:pStyle w:val="36"/>
              <w:numPr>
                <w:ilvl w:val="0"/>
                <w:numId w:val="2"/>
              </w:numPr>
              <w:spacing w:after="0" w:line="240" w:lineRule="auto"/>
              <w:rPr>
                <w:rFonts w:ascii="Times New Roman" w:hAnsi="Times New Roman" w:eastAsia="Times New Roman" w:cs="Times New Roman"/>
              </w:rPr>
            </w:pPr>
            <w:r>
              <w:rPr>
                <w:rFonts w:ascii="Times New Roman" w:hAnsi="Times New Roman" w:eastAsia="Times New Roman" w:cs="Times New Roman"/>
              </w:rPr>
              <w:t>FFS: Semi-persistent CLI reporting over PUCCH or PUSCH.</w:t>
            </w:r>
          </w:p>
          <w:p>
            <w:pPr>
              <w:pStyle w:val="36"/>
              <w:numPr>
                <w:ilvl w:val="0"/>
                <w:numId w:val="2"/>
              </w:numPr>
              <w:spacing w:after="0" w:line="240" w:lineRule="auto"/>
              <w:rPr>
                <w:rFonts w:ascii="Times New Roman" w:hAnsi="Times New Roman" w:eastAsia="Times New Roman" w:cs="Times New Roman"/>
              </w:rPr>
            </w:pPr>
            <w:r>
              <w:rPr>
                <w:rFonts w:ascii="Times New Roman" w:hAnsi="Times New Roman" w:eastAsia="Times New Roman" w:cs="Times New Roman"/>
              </w:rPr>
              <w:t>FFS: Aperiodic CLI reporting on PUCCH.</w:t>
            </w:r>
          </w:p>
        </w:tc>
      </w:tr>
    </w:tbl>
    <w:p>
      <w:pPr>
        <w:spacing w:after="120"/>
        <w:jc w:val="both"/>
        <w:rPr>
          <w:rFonts w:ascii="Times New Roman" w:hAnsi="Times New Roman" w:eastAsia="Times New Roman" w:cs="Times New Roman"/>
        </w:rPr>
      </w:pPr>
    </w:p>
    <w:p>
      <w:pPr>
        <w:spacing w:after="120"/>
        <w:jc w:val="both"/>
        <w:rPr>
          <w:rFonts w:ascii="Times New Roman" w:hAnsi="Times New Roman" w:eastAsia="Times New Roman" w:cs="Times New Roman"/>
        </w:rPr>
      </w:pPr>
      <w:r>
        <w:rPr>
          <w:rFonts w:ascii="Times New Roman" w:hAnsi="Times New Roman" w:eastAsia="Times New Roman" w:cs="Times New Roman"/>
        </w:rPr>
        <w:t>Unlike the case of existing CSI reporting, where aperiodic reporting using PUSCH, periodic reporting using PUCCH, semi-persistent reporting using PUCCH/PUSCH, are supported, CLI reporting should be t</w:t>
      </w:r>
      <w:r>
        <w:rPr>
          <w:rFonts w:ascii="Times New Roman" w:hAnsi="Times New Roman" w:eastAsia="Times New Roman" w:cs="Times New Roman"/>
        </w:rPr>
        <w:t xml:space="preserve">hreshold </w:t>
      </w:r>
      <w:bookmarkStart w:id="0" w:name="_GoBack"/>
      <w:bookmarkEnd w:id="0"/>
      <w:r>
        <w:rPr>
          <w:rFonts w:ascii="Times New Roman" w:hAnsi="Times New Roman" w:eastAsia="Times New Roman" w:cs="Times New Roman"/>
        </w:rPr>
        <w:t xml:space="preserve">based reporting and not a periodic one. The periodic reports consume uplink resources, which could otherwise be used for data transmission. This can impact overall network efficiency, especially if many aggressors UEs are involved. However, the UE can be configured to report at regular intervals subject to occurrence of an event, which is configurable. </w:t>
      </w:r>
    </w:p>
    <w:p>
      <w:pPr>
        <w:spacing w:after="120"/>
        <w:jc w:val="both"/>
        <w:rPr>
          <w:rFonts w:ascii="Times New Roman" w:hAnsi="Times New Roman" w:eastAsia="Times New Roman" w:cs="Times New Roman"/>
          <w:b/>
          <w:bCs/>
          <w:i/>
          <w:iCs/>
        </w:rPr>
      </w:pPr>
      <w:r>
        <w:rPr>
          <w:rFonts w:ascii="Times New Roman" w:hAnsi="Times New Roman" w:eastAsia="Times New Roman" w:cs="Times New Roman"/>
          <w:b/>
          <w:bCs/>
          <w:i/>
          <w:iCs/>
        </w:rPr>
        <w:t>Observation 2: Reporting of CLI at regular intervals is unnecessary, as it consumes uplink resources and affects network efficiency.</w:t>
      </w:r>
    </w:p>
    <w:p>
      <w:pPr>
        <w:spacing w:after="120"/>
        <w:jc w:val="both"/>
        <w:rPr>
          <w:rFonts w:ascii="Times New Roman" w:hAnsi="Times New Roman" w:eastAsia="Times New Roman" w:cs="Times New Roman"/>
          <w:b/>
          <w:bCs/>
          <w:i/>
          <w:iCs/>
        </w:rPr>
      </w:pPr>
      <w:r>
        <w:rPr>
          <w:rFonts w:ascii="Times New Roman" w:hAnsi="Times New Roman" w:eastAsia="Times New Roman" w:cs="Times New Roman"/>
          <w:b/>
          <w:bCs/>
          <w:i/>
          <w:iCs/>
        </w:rPr>
        <w:t>Proposal 2: For L1 based UE-to-UE CLI, support aperiodic reporting on PUSCH and threshold based periodic CLI reporting over PUCCH.</w:t>
      </w:r>
    </w:p>
    <w:p>
      <w:pPr>
        <w:spacing w:after="50" w:line="278" w:lineRule="auto"/>
        <w:jc w:val="both"/>
        <w:rPr>
          <w:rFonts w:ascii="Times New Roman" w:hAnsi="Times New Roman" w:eastAsia="Times New Roman" w:cs="Times New Roman"/>
          <w:b/>
          <w:bCs/>
        </w:rPr>
      </w:pPr>
    </w:p>
    <w:p>
      <w:pPr>
        <w:pStyle w:val="4"/>
        <w:rPr>
          <w:rFonts w:eastAsia="Times New Roman"/>
        </w:rPr>
      </w:pPr>
      <w:r>
        <w:rPr>
          <w:rFonts w:eastAsia="Times New Roman"/>
        </w:rPr>
        <w:t>2.2.2 Reporting in Frequency domain</w:t>
      </w:r>
    </w:p>
    <w:p>
      <w:pPr>
        <w:spacing w:before="120" w:after="120" w:line="274" w:lineRule="auto"/>
        <w:jc w:val="both"/>
        <w:rPr>
          <w:rFonts w:ascii="Times New Roman" w:hAnsi="Times New Roman" w:eastAsia="Times New Roman" w:cs="Times New Roman"/>
          <w:sz w:val="20"/>
          <w:szCs w:val="20"/>
        </w:rPr>
      </w:pPr>
      <w:r>
        <w:rPr>
          <w:rFonts w:ascii="Times New Roman" w:hAnsi="Times New Roman" w:eastAsia="Times New Roman" w:cs="Times New Roman"/>
        </w:rPr>
        <w:t>In the RAN1#118 meeting [1], the following was agreed regarding wideband and subband reporting of CLI</w:t>
      </w:r>
      <w:r>
        <w:rPr>
          <w:rFonts w:ascii="Times New Roman" w:hAnsi="Times New Roman" w:eastAsia="Times New Roman" w:cs="Times New Roman"/>
          <w:sz w:val="20"/>
          <w:szCs w:val="20"/>
        </w:rPr>
        <w:t>.</w:t>
      </w:r>
    </w:p>
    <w:tbl>
      <w:tblPr>
        <w:tblStyle w:val="18"/>
        <w:tblW w:w="9360"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36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9360" w:type="dxa"/>
          </w:tcPr>
          <w:p>
            <w:pPr>
              <w:spacing w:after="0" w:line="240" w:lineRule="auto"/>
              <w:rPr>
                <w:rFonts w:ascii="Times New Roman" w:hAnsi="Times New Roman" w:eastAsia="Times New Roman" w:cs="Times New Roman"/>
                <w:highlight w:val="green"/>
              </w:rPr>
            </w:pPr>
            <w:r>
              <w:rPr>
                <w:rFonts w:ascii="Times New Roman" w:hAnsi="Times New Roman" w:eastAsia="Times New Roman" w:cs="Times New Roman"/>
                <w:highlight w:val="green"/>
              </w:rPr>
              <w:t>Agreement</w:t>
            </w:r>
          </w:p>
          <w:p>
            <w:pPr>
              <w:spacing w:after="0" w:line="240" w:lineRule="auto"/>
              <w:rPr>
                <w:rFonts w:ascii="Times New Roman" w:hAnsi="Times New Roman" w:eastAsia="Times New Roman" w:cs="Times New Roman"/>
              </w:rPr>
            </w:pPr>
            <w:r>
              <w:rPr>
                <w:rFonts w:ascii="Times New Roman" w:hAnsi="Times New Roman" w:eastAsia="Times New Roman" w:cs="Times New Roman"/>
              </w:rPr>
              <w:t>For L1 UE-to-UE CLI measurement and reporting, the following are supported</w:t>
            </w:r>
          </w:p>
          <w:p>
            <w:pPr>
              <w:spacing w:after="0" w:line="240" w:lineRule="auto"/>
              <w:rPr>
                <w:rFonts w:ascii="Times New Roman" w:hAnsi="Times New Roman" w:eastAsia="Times New Roman" w:cs="Times New Roman"/>
              </w:rPr>
            </w:pPr>
            <w:r>
              <w:rPr>
                <w:rFonts w:ascii="Times New Roman" w:hAnsi="Times New Roman" w:eastAsia="Times New Roman" w:cs="Times New Roman"/>
              </w:rPr>
              <w:t>- Wideband CLI-RSRP reporting</w:t>
            </w:r>
          </w:p>
          <w:p>
            <w:pPr>
              <w:spacing w:after="0" w:line="240" w:lineRule="auto"/>
              <w:rPr>
                <w:rFonts w:ascii="Times New Roman" w:hAnsi="Times New Roman" w:eastAsia="Times New Roman" w:cs="Times New Roman"/>
              </w:rPr>
            </w:pPr>
            <w:r>
              <w:rPr>
                <w:rFonts w:ascii="Times New Roman" w:hAnsi="Times New Roman" w:eastAsia="Times New Roman" w:cs="Times New Roman"/>
              </w:rPr>
              <w:t>- Wideband CLI-RSSI reporting</w:t>
            </w:r>
          </w:p>
          <w:p>
            <w:pPr>
              <w:spacing w:after="0" w:line="240" w:lineRule="auto"/>
              <w:rPr>
                <w:rFonts w:ascii="Times New Roman" w:hAnsi="Times New Roman" w:eastAsia="Times New Roman" w:cs="Times New Roman"/>
              </w:rPr>
            </w:pPr>
            <w:r>
              <w:rPr>
                <w:rFonts w:ascii="Times New Roman" w:hAnsi="Times New Roman" w:eastAsia="Times New Roman" w:cs="Times New Roman"/>
              </w:rPr>
              <w:t>- FFS: Subband CLI-RSSI reporting</w:t>
            </w:r>
          </w:p>
        </w:tc>
      </w:tr>
    </w:tbl>
    <w:p>
      <w:pPr>
        <w:spacing w:after="50" w:line="278" w:lineRule="auto"/>
        <w:jc w:val="both"/>
        <w:rPr>
          <w:rFonts w:ascii="Times New Roman" w:hAnsi="Times New Roman" w:eastAsia="Times New Roman" w:cs="Times New Roman"/>
          <w:b/>
          <w:bCs/>
        </w:rPr>
      </w:pPr>
    </w:p>
    <w:p>
      <w:pPr>
        <w:spacing w:after="120"/>
        <w:jc w:val="both"/>
        <w:rPr>
          <w:rFonts w:ascii="Times New Roman" w:hAnsi="Times New Roman" w:eastAsia="Times New Roman" w:cs="Times New Roman"/>
        </w:rPr>
      </w:pPr>
      <w:r>
        <w:rPr>
          <w:rFonts w:ascii="Times New Roman" w:hAnsi="Times New Roman" w:eastAsia="Times New Roman" w:cs="Times New Roman"/>
        </w:rPr>
        <w:t>The Rel-16 CLI mechanism supports wideband measurement, where the CLI measurement results are averaged across the entire CLI resource. This L3-based wideband measurement provides an indication of the overall interference level. However, in the case of SBFD, the interference levels can vary across PRBs depending on its position w.r.t. UL subband.. For e.g., a PRB closer to UL subband experience higher interference compared to a PRB away from the UL subband. Therefore, enabling subband CLI reporting will improve accuracy of measurement and enhance performance of the UE-to-UE CLI measurement and reporting process.</w:t>
      </w:r>
    </w:p>
    <w:p>
      <w:pPr>
        <w:spacing w:after="120"/>
        <w:jc w:val="both"/>
        <w:rPr>
          <w:rFonts w:ascii="Times New Roman" w:hAnsi="Times New Roman" w:eastAsia="Times New Roman" w:cs="Times New Roman"/>
          <w:b/>
          <w:bCs/>
          <w:i/>
          <w:iCs/>
        </w:rPr>
      </w:pPr>
      <w:r>
        <w:rPr>
          <w:rFonts w:ascii="Times New Roman" w:hAnsi="Times New Roman" w:eastAsia="Times New Roman" w:cs="Times New Roman"/>
          <w:b/>
          <w:bCs/>
          <w:i/>
          <w:iCs/>
        </w:rPr>
        <w:t>Observation 3: In SBFD, the interference level varies across PRBs depending on its position relative to UL subband and enabling subband reporting improve accuracy of measurement.</w:t>
      </w:r>
    </w:p>
    <w:p>
      <w:pPr>
        <w:spacing w:after="120"/>
        <w:jc w:val="both"/>
        <w:rPr>
          <w:rFonts w:ascii="Times New Roman" w:hAnsi="Times New Roman" w:eastAsia="Times New Roman" w:cs="Times New Roman"/>
          <w:b/>
          <w:bCs/>
          <w:i/>
          <w:iCs/>
        </w:rPr>
      </w:pPr>
      <w:r>
        <w:rPr>
          <w:rFonts w:ascii="Times New Roman" w:hAnsi="Times New Roman" w:eastAsia="Times New Roman" w:cs="Times New Roman"/>
          <w:b/>
          <w:bCs/>
          <w:i/>
          <w:iCs/>
        </w:rPr>
        <w:t>Proposal 3: For L1 based UE-to-UE CLI reporting, subband CLI-RSSI reporting is supported.</w:t>
      </w:r>
    </w:p>
    <w:p>
      <w:pPr>
        <w:spacing w:after="120"/>
        <w:jc w:val="both"/>
        <w:rPr>
          <w:rFonts w:ascii="Times New Roman" w:hAnsi="Times New Roman" w:eastAsia="Times New Roman" w:cs="Times New Roman"/>
          <w:b/>
          <w:bCs/>
          <w:i/>
          <w:iCs/>
        </w:rPr>
      </w:pPr>
    </w:p>
    <w:p>
      <w:pPr>
        <w:pStyle w:val="4"/>
        <w:spacing w:after="120"/>
        <w:jc w:val="both"/>
        <w:rPr>
          <w:rFonts w:eastAsia="Times New Roman"/>
        </w:rPr>
      </w:pPr>
      <w:r>
        <w:rPr>
          <w:rFonts w:eastAsia="Times New Roman"/>
        </w:rPr>
        <w:t>2.2.3 Report quantities</w:t>
      </w:r>
    </w:p>
    <w:p>
      <w:pPr>
        <w:spacing w:after="0"/>
        <w:jc w:val="both"/>
        <w:rPr>
          <w:rFonts w:ascii="Times New Roman" w:hAnsi="Times New Roman" w:eastAsia="Times New Roman" w:cs="Times New Roman"/>
        </w:rPr>
      </w:pPr>
      <w:r>
        <w:rPr>
          <w:rFonts w:ascii="Times New Roman" w:hAnsi="Times New Roman" w:eastAsia="Times New Roman" w:cs="Times New Roman"/>
        </w:rPr>
        <w:t>In the RAN1#118 meeting [1], the following was agreed regarding the report quantities:</w:t>
      </w:r>
    </w:p>
    <w:tbl>
      <w:tblPr>
        <w:tblStyle w:val="18"/>
        <w:tblW w:w="9360"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36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9360" w:type="dxa"/>
          </w:tcPr>
          <w:p>
            <w:pPr>
              <w:spacing w:after="0" w:line="240" w:lineRule="auto"/>
              <w:rPr>
                <w:rFonts w:ascii="Times New Roman" w:hAnsi="Times New Roman" w:eastAsia="Times New Roman" w:cs="Times New Roman"/>
                <w:b/>
                <w:bCs/>
              </w:rPr>
            </w:pPr>
            <w:r>
              <w:rPr>
                <w:rFonts w:ascii="Times New Roman" w:hAnsi="Times New Roman" w:eastAsia="Times New Roman" w:cs="Times New Roman"/>
                <w:b/>
                <w:bCs/>
                <w:highlight w:val="green"/>
              </w:rPr>
              <w:t>Agreement</w:t>
            </w:r>
            <w:r>
              <w:rPr>
                <w:rFonts w:ascii="Times New Roman" w:hAnsi="Times New Roman" w:eastAsia="Times New Roman" w:cs="Times New Roman"/>
                <w:b/>
                <w:bCs/>
              </w:rPr>
              <w:t xml:space="preserve"> </w:t>
            </w:r>
          </w:p>
          <w:p>
            <w:pPr>
              <w:spacing w:after="0" w:line="240" w:lineRule="auto"/>
              <w:rPr>
                <w:rFonts w:ascii="Times New Roman" w:hAnsi="Times New Roman" w:eastAsia="Times New Roman" w:cs="Times New Roman"/>
                <w:i/>
                <w:iCs/>
                <w:color w:val="000000" w:themeColor="text1"/>
                <w14:textFill>
                  <w14:solidFill>
                    <w14:schemeClr w14:val="tx1"/>
                  </w14:solidFill>
                </w14:textFill>
              </w:rPr>
            </w:pPr>
            <w:r>
              <w:rPr>
                <w:rFonts w:ascii="Times New Roman" w:hAnsi="Times New Roman" w:eastAsia="Times New Roman" w:cs="Times New Roman"/>
              </w:rPr>
              <w:t xml:space="preserve">For L1 UE-to-UE </w:t>
            </w:r>
            <w:r>
              <w:rPr>
                <w:rFonts w:ascii="Times New Roman" w:hAnsi="Times New Roman" w:eastAsia="Times New Roman" w:cs="Times New Roman"/>
                <w:color w:val="000000" w:themeColor="text1" w:themeTint="FF"/>
                <w14:textFill>
                  <w14:solidFill>
                    <w14:schemeClr w14:val="tx1">
                      <w14:lumMod w14:val="100000"/>
                      <w14:lumOff w14:val="0"/>
                    </w14:schemeClr>
                  </w14:solidFill>
                </w14:textFill>
              </w:rPr>
              <w:t xml:space="preserve">CLI measurement and reporting, support two additional report quantities {‘cli-RSSI’, ‘cli-SRS-RSRP’} to the higher layer parameter </w:t>
            </w:r>
            <w:r>
              <w:rPr>
                <w:rFonts w:ascii="Times New Roman" w:hAnsi="Times New Roman" w:eastAsia="Times New Roman" w:cs="Times New Roman"/>
                <w:i/>
                <w:iCs/>
                <w:color w:val="000000" w:themeColor="text1" w:themeTint="FF"/>
                <w14:textFill>
                  <w14:solidFill>
                    <w14:schemeClr w14:val="tx1">
                      <w14:lumMod w14:val="100000"/>
                      <w14:lumOff w14:val="0"/>
                    </w14:schemeClr>
                  </w14:solidFill>
                </w14:textFill>
              </w:rPr>
              <w:t>reportQuantity.</w:t>
            </w:r>
          </w:p>
          <w:p>
            <w:pPr>
              <w:pStyle w:val="36"/>
              <w:numPr>
                <w:ilvl w:val="0"/>
                <w:numId w:val="3"/>
              </w:numPr>
              <w:spacing w:after="0" w:line="240" w:lineRule="auto"/>
              <w:jc w:val="both"/>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themeTint="FF"/>
                <w14:textFill>
                  <w14:solidFill>
                    <w14:schemeClr w14:val="tx1">
                      <w14:lumMod w14:val="100000"/>
                      <w14:lumOff w14:val="0"/>
                    </w14:schemeClr>
                  </w14:solidFill>
                </w14:textFill>
              </w:rPr>
              <w:t xml:space="preserve">FFS: configuration of number of reported CLI resources in the </w:t>
            </w:r>
            <w:r>
              <w:rPr>
                <w:rFonts w:ascii="Times New Roman" w:hAnsi="Times New Roman" w:eastAsia="Times New Roman" w:cs="Times New Roman"/>
                <w:i/>
                <w:iCs/>
                <w:color w:val="000000" w:themeColor="text1" w:themeTint="FF"/>
                <w14:textFill>
                  <w14:solidFill>
                    <w14:schemeClr w14:val="tx1">
                      <w14:lumMod w14:val="100000"/>
                      <w14:lumOff w14:val="0"/>
                    </w14:schemeClr>
                  </w14:solidFill>
                </w14:textFill>
              </w:rPr>
              <w:t>reportConfig</w:t>
            </w:r>
            <w:r>
              <w:rPr>
                <w:rFonts w:ascii="Times New Roman" w:hAnsi="Times New Roman" w:eastAsia="Times New Roman" w:cs="Times New Roman"/>
                <w:color w:val="000000" w:themeColor="text1" w:themeTint="FF"/>
                <w14:textFill>
                  <w14:solidFill>
                    <w14:schemeClr w14:val="tx1">
                      <w14:lumMod w14:val="100000"/>
                      <w14:lumOff w14:val="0"/>
                    </w14:schemeClr>
                  </w14:solidFill>
                </w14:textFill>
              </w:rPr>
              <w:t xml:space="preserve"> </w:t>
            </w:r>
          </w:p>
          <w:p>
            <w:pPr>
              <w:pStyle w:val="36"/>
              <w:numPr>
                <w:ilvl w:val="0"/>
                <w:numId w:val="3"/>
              </w:numPr>
              <w:spacing w:after="0" w:line="240" w:lineRule="auto"/>
              <w:jc w:val="both"/>
              <w:rPr>
                <w:rFonts w:ascii="Times New Roman" w:hAnsi="Times New Roman" w:eastAsia="Times New Roman" w:cs="Times New Roman"/>
                <w:color w:val="000000" w:themeColor="text1" w:themeTint="FF"/>
                <w14:textFill>
                  <w14:solidFill>
                    <w14:schemeClr w14:val="tx1">
                      <w14:lumMod w14:val="100000"/>
                      <w14:lumOff w14:val="0"/>
                    </w14:schemeClr>
                  </w14:solidFill>
                </w14:textFill>
              </w:rPr>
            </w:pPr>
            <w:r>
              <w:rPr>
                <w:rFonts w:ascii="Times New Roman" w:hAnsi="Times New Roman" w:eastAsia="Times New Roman" w:cs="Times New Roman"/>
                <w:color w:val="000000" w:themeColor="text1" w:themeTint="FF"/>
                <w14:textFill>
                  <w14:solidFill>
                    <w14:schemeClr w14:val="tx1">
                      <w14:lumMod w14:val="100000"/>
                      <w14:lumOff w14:val="0"/>
                    </w14:schemeClr>
                  </w14:solidFill>
                </w14:textFill>
              </w:rPr>
              <w:t>FFS: reporting criteria</w:t>
            </w:r>
          </w:p>
        </w:tc>
      </w:tr>
    </w:tbl>
    <w:p>
      <w:pPr>
        <w:spacing w:after="0"/>
        <w:rPr>
          <w:rFonts w:ascii="Times New Roman" w:hAnsi="Times New Roman" w:eastAsia="Times New Roman" w:cs="Times New Roman"/>
          <w:b/>
          <w:bCs/>
          <w:highlight w:val="green"/>
        </w:rPr>
      </w:pPr>
    </w:p>
    <w:p>
      <w:pPr>
        <w:spacing w:after="0"/>
        <w:rPr>
          <w:rFonts w:ascii="Times New Roman" w:hAnsi="Times New Roman" w:eastAsia="Times New Roman" w:cs="Times New Roman"/>
        </w:rPr>
      </w:pPr>
      <w:r>
        <w:rPr>
          <w:rFonts w:ascii="Times New Roman" w:hAnsi="Times New Roman" w:eastAsia="Times New Roman" w:cs="Times New Roman"/>
        </w:rPr>
        <w:t xml:space="preserve">Based on the agreement, two new report quantities are introduced for CLI measurement and reporting. The CSI framework can be extended by including two additional report quantities, cli-RSSI and cli-SRS-RSRP, to the existing list of reporting quantities. New IE (E.g., </w:t>
      </w:r>
      <w:r>
        <w:rPr>
          <w:rFonts w:ascii="Times New Roman" w:hAnsi="Times New Roman" w:eastAsia="Times New Roman" w:cs="Times New Roman"/>
          <w:i/>
          <w:iCs/>
        </w:rPr>
        <w:t>reportQuantity-CLI)</w:t>
      </w:r>
      <w:r>
        <w:rPr>
          <w:rFonts w:ascii="Times New Roman" w:hAnsi="Times New Roman" w:eastAsia="Times New Roman" w:cs="Times New Roman"/>
        </w:rPr>
        <w:t xml:space="preserve"> can be introduced in </w:t>
      </w:r>
      <w:r>
        <w:rPr>
          <w:rFonts w:ascii="Times New Roman" w:hAnsi="Times New Roman" w:eastAsia="Times New Roman" w:cs="Times New Roman"/>
          <w:i/>
          <w:iCs/>
        </w:rPr>
        <w:t>CSI-ReportConfig</w:t>
      </w:r>
      <w:r>
        <w:rPr>
          <w:rFonts w:ascii="Times New Roman" w:hAnsi="Times New Roman" w:eastAsia="Times New Roman" w:cs="Times New Roman"/>
        </w:rPr>
        <w:t xml:space="preserve"> to configure the new report quantities to the UE</w:t>
      </w:r>
      <w:r>
        <w:rPr>
          <w:rFonts w:ascii="Times New Roman" w:hAnsi="Times New Roman" w:eastAsia="Times New Roman" w:cs="Times New Roman"/>
          <w:i/>
          <w:iCs/>
        </w:rPr>
        <w:t>.</w:t>
      </w:r>
    </w:p>
    <w:p>
      <w:pPr>
        <w:spacing w:after="0"/>
        <w:jc w:val="both"/>
        <w:rPr>
          <w:rFonts w:ascii="Times New Roman" w:hAnsi="Times New Roman" w:eastAsia="Times New Roman" w:cs="Times New Roman"/>
          <w:b/>
          <w:bCs/>
        </w:rPr>
      </w:pPr>
    </w:p>
    <w:p>
      <w:pPr>
        <w:spacing w:after="240"/>
        <w:jc w:val="both"/>
        <w:rPr>
          <w:rFonts w:ascii="Times New Roman" w:hAnsi="Times New Roman" w:eastAsia="Times New Roman" w:cs="Times New Roman"/>
          <w:b/>
          <w:bCs/>
          <w:i/>
          <w:iCs/>
        </w:rPr>
      </w:pPr>
      <w:r>
        <w:rPr>
          <w:rFonts w:ascii="Times New Roman" w:hAnsi="Times New Roman" w:eastAsia="Times New Roman" w:cs="Times New Roman"/>
          <w:b/>
          <w:bCs/>
          <w:i/>
          <w:iCs/>
        </w:rPr>
        <w:t>Proposal 4: For L1 based UE-to-UE CLI measurement and reporting, introducing new IE (E.g., reportQuantity-CLI) in CSI-ReportConfig to configure the new report quantities to the UE is supported.</w:t>
      </w:r>
    </w:p>
    <w:p>
      <w:pPr>
        <w:spacing w:after="50"/>
        <w:jc w:val="both"/>
        <w:rPr>
          <w:rFonts w:ascii="Times New Roman" w:hAnsi="Times New Roman" w:eastAsia="Times New Roman" w:cs="Times New Roman"/>
        </w:rPr>
      </w:pPr>
      <w:r>
        <w:rPr>
          <w:rFonts w:ascii="Times New Roman" w:hAnsi="Times New Roman" w:eastAsia="Times New Roman" w:cs="Times New Roman"/>
        </w:rPr>
        <w:t xml:space="preserve">For L1 based UE-to-UE CLI measurement and reporting, threshold-based reporting is supported, where the UE reports configured new report quantities (i.e., cli-RSSI/cli-SRS-RSRP) only when the cli-RSSI/cli-SRS-RSRP value goes above the threshold value, which is configured by the gNB. However, the UE can measure the cli-RSSI/cli-SRS-RSRP on configured resources. The UE can be configured with threshold value for reporting using RRC. </w:t>
      </w:r>
    </w:p>
    <w:p>
      <w:pPr>
        <w:spacing w:after="50"/>
        <w:jc w:val="both"/>
        <w:rPr>
          <w:rFonts w:ascii="Times New Roman" w:hAnsi="Times New Roman" w:eastAsia="Times New Roman" w:cs="Times New Roman"/>
        </w:rPr>
      </w:pPr>
    </w:p>
    <w:p>
      <w:pPr>
        <w:spacing w:after="50" w:line="288" w:lineRule="auto"/>
        <w:jc w:val="both"/>
        <w:rPr>
          <w:rFonts w:ascii="Times New Roman" w:hAnsi="Times New Roman" w:eastAsia="Times New Roman" w:cs="Times New Roman"/>
          <w:b/>
          <w:bCs/>
          <w:i/>
          <w:iCs/>
        </w:rPr>
      </w:pPr>
      <w:r>
        <w:rPr>
          <w:rFonts w:ascii="Times New Roman" w:hAnsi="Times New Roman" w:eastAsia="Times New Roman" w:cs="Times New Roman"/>
          <w:b/>
          <w:bCs/>
          <w:i/>
          <w:iCs/>
        </w:rPr>
        <w:t>Proposal 5: Support threshold-based reporting for L1 based UE-to-UE CLI measurement and reporting.</w:t>
      </w:r>
    </w:p>
    <w:p>
      <w:pPr>
        <w:pStyle w:val="4"/>
        <w:rPr>
          <w:rFonts w:eastAsia="Times New Roman"/>
        </w:rPr>
      </w:pPr>
      <w:r>
        <w:rPr>
          <w:rFonts w:eastAsia="Times New Roman"/>
        </w:rPr>
        <w:t>2.2.4 Priority rules</w:t>
      </w:r>
    </w:p>
    <w:p>
      <w:pPr>
        <w:spacing w:after="0"/>
        <w:jc w:val="both"/>
        <w:rPr>
          <w:rFonts w:ascii="Times New Roman" w:hAnsi="Times New Roman" w:eastAsia="Times New Roman" w:cs="Times New Roman"/>
        </w:rPr>
      </w:pPr>
      <w:r>
        <w:rPr>
          <w:rFonts w:ascii="Times New Roman" w:hAnsi="Times New Roman" w:eastAsia="Times New Roman" w:cs="Times New Roman"/>
        </w:rPr>
        <w:t>In the current CSI reporting framework, priority rules are defined for CSI report [3], where priority of CSI report is determined based on its reporting type in time domain, the reporting quantities and associated serving cell index. In the RAN1#118 meeting, the following was agreed regarding defining priority for CLI report.</w:t>
      </w:r>
    </w:p>
    <w:p>
      <w:pPr>
        <w:spacing w:after="0"/>
        <w:jc w:val="both"/>
        <w:rPr>
          <w:rFonts w:ascii="Times New Roman" w:hAnsi="Times New Roman" w:eastAsia="Times New Roman" w:cs="Times New Roman"/>
        </w:rPr>
      </w:pPr>
    </w:p>
    <w:tbl>
      <w:tblPr>
        <w:tblStyle w:val="18"/>
        <w:tblW w:w="9360"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36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9360" w:type="dxa"/>
          </w:tcPr>
          <w:p>
            <w:pPr>
              <w:spacing w:after="0" w:line="240" w:lineRule="auto"/>
              <w:jc w:val="both"/>
              <w:rPr>
                <w:rFonts w:ascii="Times New Roman" w:hAnsi="Times New Roman" w:eastAsia="Times New Roman" w:cs="Times New Roman"/>
                <w:b/>
                <w:bCs/>
              </w:rPr>
            </w:pPr>
            <w:r>
              <w:rPr>
                <w:rFonts w:ascii="Times New Roman" w:hAnsi="Times New Roman" w:eastAsia="Times New Roman" w:cs="Times New Roman"/>
                <w:b/>
                <w:bCs/>
                <w:highlight w:val="green"/>
              </w:rPr>
              <w:t>Agreement</w:t>
            </w:r>
            <w:r>
              <w:rPr>
                <w:rFonts w:ascii="Times New Roman" w:hAnsi="Times New Roman" w:eastAsia="Times New Roman" w:cs="Times New Roman"/>
                <w:b/>
                <w:bCs/>
              </w:rPr>
              <w:t xml:space="preserve"> </w:t>
            </w:r>
          </w:p>
          <w:p>
            <w:pPr>
              <w:spacing w:after="0" w:line="240" w:lineRule="auto"/>
              <w:jc w:val="both"/>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 xml:space="preserve">To determine the value of k in </w:t>
            </w:r>
            <w:r>
              <w:rPr>
                <w:rFonts w:ascii="Times New Roman" w:hAnsi="Times New Roman" w:eastAsia="Times New Roman" w:cs="Times New Roman"/>
                <w:i/>
                <w:iCs/>
                <w:color w:val="000000" w:themeColor="text1"/>
                <w14:textFill>
                  <w14:solidFill>
                    <w14:schemeClr w14:val="tx1"/>
                  </w14:solidFill>
                </w14:textFill>
              </w:rPr>
              <w:t xml:space="preserve">PriiCSI (y, k, c, s) </w:t>
            </w:r>
            <w:r>
              <w:rPr>
                <w:rFonts w:ascii="Times New Roman" w:hAnsi="Times New Roman" w:eastAsia="Times New Roman" w:cs="Times New Roman"/>
                <w:color w:val="000000" w:themeColor="text1"/>
                <w14:textFill>
                  <w14:solidFill>
                    <w14:schemeClr w14:val="tx1"/>
                  </w14:solidFill>
                </w14:textFill>
              </w:rPr>
              <w:t>for CSI reports carrying L1 UE-to-UE CLI report, the following options are considered</w:t>
            </w:r>
          </w:p>
          <w:p>
            <w:pPr>
              <w:pStyle w:val="36"/>
              <w:numPr>
                <w:ilvl w:val="0"/>
                <w:numId w:val="4"/>
              </w:numPr>
              <w:spacing w:after="0" w:line="240" w:lineRule="auto"/>
              <w:jc w:val="both"/>
              <w:rPr>
                <w:rFonts w:ascii="Times New Roman" w:hAnsi="Times New Roman" w:eastAsia="Times New Roman" w:cs="Times New Roman"/>
              </w:rPr>
            </w:pPr>
            <w:r>
              <w:rPr>
                <w:rFonts w:ascii="Times New Roman" w:hAnsi="Times New Roman" w:eastAsia="Times New Roman" w:cs="Times New Roman"/>
              </w:rPr>
              <w:t xml:space="preserve">Option 1-1: Reusing existing </w:t>
            </w:r>
            <w:r>
              <w:rPr>
                <w:rFonts w:ascii="Times New Roman" w:hAnsi="Times New Roman" w:eastAsia="Times New Roman" w:cs="Times New Roman"/>
                <w:i/>
                <w:iCs/>
              </w:rPr>
              <w:t>k</w:t>
            </w:r>
            <w:r>
              <w:rPr>
                <w:rFonts w:ascii="Times New Roman" w:hAnsi="Times New Roman" w:eastAsia="Times New Roman" w:cs="Times New Roman"/>
              </w:rPr>
              <w:t xml:space="preserve"> value, </w:t>
            </w:r>
            <w:r>
              <w:rPr>
                <w:rFonts w:ascii="Times New Roman" w:hAnsi="Times New Roman" w:eastAsia="Times New Roman" w:cs="Times New Roman"/>
                <w:i/>
                <w:iCs/>
              </w:rPr>
              <w:t>k</w:t>
            </w:r>
            <w:r>
              <w:rPr>
                <w:rFonts w:ascii="Times New Roman" w:hAnsi="Times New Roman" w:eastAsia="Times New Roman" w:cs="Times New Roman"/>
              </w:rPr>
              <w:t xml:space="preserve"> = 0</w:t>
            </w:r>
          </w:p>
          <w:p>
            <w:pPr>
              <w:pStyle w:val="36"/>
              <w:numPr>
                <w:ilvl w:val="0"/>
                <w:numId w:val="4"/>
              </w:numPr>
              <w:spacing w:after="0" w:line="240" w:lineRule="auto"/>
              <w:jc w:val="both"/>
              <w:rPr>
                <w:rFonts w:ascii="Times New Roman" w:hAnsi="Times New Roman" w:eastAsia="Times New Roman" w:cs="Times New Roman"/>
              </w:rPr>
            </w:pPr>
            <w:r>
              <w:rPr>
                <w:rFonts w:ascii="Times New Roman" w:hAnsi="Times New Roman" w:eastAsia="Times New Roman" w:cs="Times New Roman"/>
              </w:rPr>
              <w:t xml:space="preserve">Option 1-2: Reusing existing </w:t>
            </w:r>
            <w:r>
              <w:rPr>
                <w:rFonts w:ascii="Times New Roman" w:hAnsi="Times New Roman" w:eastAsia="Times New Roman" w:cs="Times New Roman"/>
                <w:i/>
                <w:iCs/>
              </w:rPr>
              <w:t>k</w:t>
            </w:r>
            <w:r>
              <w:rPr>
                <w:rFonts w:ascii="Times New Roman" w:hAnsi="Times New Roman" w:eastAsia="Times New Roman" w:cs="Times New Roman"/>
              </w:rPr>
              <w:t xml:space="preserve"> value, </w:t>
            </w:r>
            <w:r>
              <w:rPr>
                <w:rFonts w:ascii="Times New Roman" w:hAnsi="Times New Roman" w:eastAsia="Times New Roman" w:cs="Times New Roman"/>
                <w:i/>
                <w:iCs/>
              </w:rPr>
              <w:t>k</w:t>
            </w:r>
            <w:r>
              <w:rPr>
                <w:rFonts w:ascii="Times New Roman" w:hAnsi="Times New Roman" w:eastAsia="Times New Roman" w:cs="Times New Roman"/>
              </w:rPr>
              <w:t xml:space="preserve"> = 1</w:t>
            </w:r>
          </w:p>
          <w:p>
            <w:pPr>
              <w:pStyle w:val="36"/>
              <w:numPr>
                <w:ilvl w:val="0"/>
                <w:numId w:val="4"/>
              </w:numPr>
              <w:spacing w:after="0" w:line="240" w:lineRule="auto"/>
              <w:jc w:val="both"/>
              <w:rPr>
                <w:rFonts w:ascii="Times New Roman" w:hAnsi="Times New Roman" w:eastAsia="Times New Roman" w:cs="Times New Roman"/>
              </w:rPr>
            </w:pPr>
            <w:r>
              <w:rPr>
                <w:rFonts w:ascii="Times New Roman" w:hAnsi="Times New Roman" w:eastAsia="Times New Roman" w:cs="Times New Roman"/>
              </w:rPr>
              <w:t xml:space="preserve">Option 2: Adding a new </w:t>
            </w:r>
            <w:r>
              <w:rPr>
                <w:rFonts w:ascii="Times New Roman" w:hAnsi="Times New Roman" w:eastAsia="Times New Roman" w:cs="Times New Roman"/>
                <w:i/>
                <w:iCs/>
              </w:rPr>
              <w:t>k</w:t>
            </w:r>
            <w:r>
              <w:rPr>
                <w:rFonts w:ascii="Times New Roman" w:hAnsi="Times New Roman" w:eastAsia="Times New Roman" w:cs="Times New Roman"/>
              </w:rPr>
              <w:t xml:space="preserve"> value other than 0 and 1.</w:t>
            </w:r>
          </w:p>
          <w:p>
            <w:pPr>
              <w:spacing w:after="0" w:line="240" w:lineRule="auto"/>
              <w:rPr>
                <w:rFonts w:ascii="Times New Roman" w:hAnsi="Times New Roman" w:eastAsia="Times New Roman" w:cs="Times New Roman"/>
                <w:b/>
                <w:bCs/>
              </w:rPr>
            </w:pPr>
          </w:p>
        </w:tc>
      </w:tr>
    </w:tbl>
    <w:p>
      <w:pPr>
        <w:spacing w:after="120"/>
        <w:jc w:val="both"/>
        <w:rPr>
          <w:rFonts w:ascii="Times New Roman" w:hAnsi="Times New Roman" w:eastAsia="Times New Roman" w:cs="Times New Roman"/>
        </w:rPr>
      </w:pPr>
      <w:r>
        <w:rPr>
          <w:rFonts w:ascii="Times New Roman" w:hAnsi="Times New Roman" w:eastAsia="Times New Roman" w:cs="Times New Roman"/>
        </w:rPr>
        <w:t xml:space="preserve"> </w:t>
      </w:r>
    </w:p>
    <w:p>
      <w:pPr>
        <w:spacing w:after="240"/>
        <w:jc w:val="both"/>
        <w:rPr>
          <w:rFonts w:ascii="Times New Roman" w:hAnsi="Times New Roman" w:eastAsia="Times New Roman" w:cs="Times New Roman"/>
        </w:rPr>
      </w:pPr>
      <w:r>
        <w:rPr>
          <w:rFonts w:ascii="Times New Roman" w:hAnsi="Times New Roman" w:eastAsia="Times New Roman" w:cs="Times New Roman"/>
        </w:rPr>
        <w:t xml:space="preserve">The CLI reports can be considered as a specific type of CSI report configured for measuring UE-to-UE CLI. As a result, the existing CSI priority mechanisms can generally be reused. Factors such as the reporting type in the time domain, associated serving cell index, and reportConfigID can be determined based on CSI reporting framework. However, when considering reporting quantities, reusing the values of </w:t>
      </w:r>
      <w:r>
        <w:rPr>
          <w:rFonts w:ascii="Times New Roman" w:hAnsi="Times New Roman" w:eastAsia="Times New Roman" w:cs="Times New Roman"/>
          <w:i/>
          <w:iCs/>
        </w:rPr>
        <w:t xml:space="preserve">k=0 </w:t>
      </w:r>
      <w:r>
        <w:rPr>
          <w:rFonts w:ascii="Times New Roman" w:hAnsi="Times New Roman" w:eastAsia="Times New Roman" w:cs="Times New Roman"/>
        </w:rPr>
        <w:t xml:space="preserve">(option 1-1) results in high priority for CLI parameters, which is not desired. However, configuring a new value </w:t>
      </w:r>
      <w:r>
        <w:rPr>
          <w:rFonts w:ascii="Times New Roman" w:hAnsi="Times New Roman" w:eastAsia="Times New Roman" w:cs="Times New Roman"/>
          <w:i/>
          <w:iCs/>
        </w:rPr>
        <w:t>k</w:t>
      </w:r>
      <w:r>
        <w:rPr>
          <w:rFonts w:ascii="Times New Roman" w:hAnsi="Times New Roman" w:eastAsia="Times New Roman" w:cs="Times New Roman"/>
        </w:rPr>
        <w:t xml:space="preserve">=2, keep CLI parameter of low priority, which is not suitable in all cases, especially when the UE is experiencing severe CLI. Therefore, for L1 based UE-to-UE CLI reporting, </w:t>
      </w:r>
      <w:r>
        <w:rPr>
          <w:rFonts w:ascii="Times New Roman" w:hAnsi="Times New Roman" w:eastAsia="Times New Roman" w:cs="Times New Roman"/>
          <w:i/>
          <w:iCs/>
        </w:rPr>
        <w:t>k</w:t>
      </w:r>
      <w:r>
        <w:rPr>
          <w:rFonts w:ascii="Times New Roman" w:hAnsi="Times New Roman" w:eastAsia="Times New Roman" w:cs="Times New Roman"/>
        </w:rPr>
        <w:t xml:space="preserve"> should be same as CSI report not carrying L1-RSRP or L1-SINR, i.e., </w:t>
      </w:r>
      <w:r>
        <w:rPr>
          <w:rFonts w:ascii="Times New Roman" w:hAnsi="Times New Roman" w:eastAsia="Times New Roman" w:cs="Times New Roman"/>
          <w:i/>
          <w:iCs/>
        </w:rPr>
        <w:t xml:space="preserve">k=1 </w:t>
      </w:r>
      <w:r>
        <w:rPr>
          <w:rFonts w:ascii="Times New Roman" w:hAnsi="Times New Roman" w:eastAsia="Times New Roman" w:cs="Times New Roman"/>
        </w:rPr>
        <w:t>for L1 based UE-to-UE CLI reporting.</w:t>
      </w:r>
    </w:p>
    <w:p>
      <w:pPr>
        <w:spacing w:after="240"/>
        <w:jc w:val="both"/>
        <w:rPr>
          <w:rFonts w:ascii="Times New Roman" w:hAnsi="Times New Roman" w:eastAsia="Times New Roman" w:cs="Times New Roman"/>
        </w:rPr>
      </w:pPr>
    </w:p>
    <w:p>
      <w:pPr>
        <w:spacing w:after="0"/>
        <w:jc w:val="both"/>
        <w:rPr>
          <w:rFonts w:ascii="Times New Roman" w:hAnsi="Times New Roman" w:eastAsia="Times New Roman" w:cs="Times New Roman"/>
          <w:b/>
          <w:bCs/>
          <w:i/>
          <w:iCs/>
        </w:rPr>
      </w:pPr>
      <w:r>
        <w:rPr>
          <w:rFonts w:ascii="Times New Roman" w:hAnsi="Times New Roman" w:eastAsia="Times New Roman" w:cs="Times New Roman"/>
          <w:b/>
          <w:bCs/>
          <w:i/>
          <w:iCs/>
        </w:rPr>
        <w:t xml:space="preserve">Proposal 6: For determining priority for </w:t>
      </w:r>
      <w:r>
        <w:rPr>
          <w:rFonts w:ascii="Times New Roman" w:hAnsi="Times New Roman" w:eastAsia="Times New Roman" w:cs="Times New Roman"/>
          <w:b/>
          <w:bCs/>
          <w:i/>
          <w:iCs/>
          <w:color w:val="000000" w:themeColor="text1" w:themeTint="FF"/>
          <w14:textFill>
            <w14:solidFill>
              <w14:schemeClr w14:val="tx1">
                <w14:lumMod w14:val="100000"/>
                <w14:lumOff w14:val="0"/>
              </w14:schemeClr>
            </w14:solidFill>
          </w14:textFill>
        </w:rPr>
        <w:t>CSI reports carrying L1 UE-to-UE CLI report reusing</w:t>
      </w:r>
      <w:r>
        <w:rPr>
          <w:rFonts w:ascii="Times New Roman" w:hAnsi="Times New Roman" w:eastAsia="Times New Roman" w:cs="Times New Roman"/>
          <w:b/>
          <w:bCs/>
          <w:i/>
          <w:iCs/>
        </w:rPr>
        <w:t xml:space="preserve"> existing k =1 is supported</w:t>
      </w:r>
    </w:p>
    <w:p>
      <w:pPr>
        <w:spacing w:after="0"/>
        <w:jc w:val="both"/>
        <w:rPr>
          <w:rFonts w:ascii="Times New Roman" w:hAnsi="Times New Roman" w:eastAsia="Times New Roman" w:cs="Times New Roman"/>
          <w:b/>
          <w:bCs/>
          <w:i/>
          <w:iCs/>
        </w:rPr>
      </w:pPr>
    </w:p>
    <w:p>
      <w:pPr>
        <w:pStyle w:val="3"/>
        <w:rPr>
          <w:rFonts w:eastAsia="Times New Roman"/>
        </w:rPr>
      </w:pPr>
      <w:r>
        <w:rPr>
          <w:rFonts w:eastAsia="Times New Roman"/>
        </w:rPr>
        <w:t>2.3 Conclusion</w:t>
      </w:r>
    </w:p>
    <w:p>
      <w:pPr>
        <w:spacing w:after="0"/>
        <w:jc w:val="both"/>
        <w:rPr>
          <w:rFonts w:ascii="Times New Roman" w:hAnsi="Times New Roman" w:eastAsia="Times New Roman" w:cs="Times New Roman"/>
          <w:b/>
          <w:bCs/>
          <w:sz w:val="28"/>
          <w:szCs w:val="28"/>
        </w:rPr>
      </w:pPr>
    </w:p>
    <w:p>
      <w:pPr>
        <w:spacing w:line="278" w:lineRule="auto"/>
        <w:jc w:val="both"/>
        <w:rPr>
          <w:rFonts w:ascii="Times New Roman" w:hAnsi="Times New Roman" w:eastAsia="Times New Roman" w:cs="Times New Roman"/>
        </w:rPr>
      </w:pPr>
      <w:r>
        <w:rPr>
          <w:rFonts w:ascii="Times New Roman" w:hAnsi="Times New Roman" w:eastAsia="Times New Roman" w:cs="Times New Roman"/>
        </w:rPr>
        <w:t>The following observations and proposals are made in the contribution</w:t>
      </w:r>
    </w:p>
    <w:p>
      <w:pPr>
        <w:spacing w:before="120" w:after="120" w:line="274" w:lineRule="auto"/>
        <w:jc w:val="both"/>
        <w:rPr>
          <w:rFonts w:ascii="Times New Roman" w:hAnsi="Times New Roman" w:eastAsia="Times New Roman" w:cs="Times New Roman"/>
          <w:b/>
          <w:bCs/>
          <w:i/>
          <w:iCs/>
        </w:rPr>
      </w:pPr>
      <w:r>
        <w:rPr>
          <w:rFonts w:ascii="Times New Roman" w:hAnsi="Times New Roman" w:eastAsia="Times New Roman" w:cs="Times New Roman"/>
          <w:b/>
          <w:bCs/>
          <w:i/>
          <w:iCs/>
        </w:rPr>
        <w:t>Observation 1: RSSI measurement within UL subband (Method #3) is an easier way to identify/obtain information about the aggressor UE, compared to Method #2, without complex configuration exchanges, SRS transmission and coordination among nodes</w:t>
      </w:r>
    </w:p>
    <w:p>
      <w:pPr>
        <w:spacing w:after="120"/>
        <w:jc w:val="both"/>
        <w:rPr>
          <w:rFonts w:ascii="Times New Roman" w:hAnsi="Times New Roman" w:eastAsia="Times New Roman" w:cs="Times New Roman"/>
          <w:b/>
          <w:bCs/>
          <w:i/>
          <w:iCs/>
        </w:rPr>
      </w:pPr>
      <w:r>
        <w:rPr>
          <w:rFonts w:ascii="Times New Roman" w:hAnsi="Times New Roman" w:eastAsia="Times New Roman" w:cs="Times New Roman"/>
          <w:b/>
          <w:bCs/>
          <w:i/>
          <w:iCs/>
        </w:rPr>
        <w:t>Proposal 1: For L1 UE-to-UE CLI measurement and reporting, RSSI measurement within UL subband (Method#3) is supported.</w:t>
      </w:r>
    </w:p>
    <w:p>
      <w:pPr>
        <w:spacing w:after="120"/>
        <w:jc w:val="both"/>
        <w:rPr>
          <w:rFonts w:ascii="Times New Roman" w:hAnsi="Times New Roman" w:eastAsia="Times New Roman" w:cs="Times New Roman"/>
          <w:b/>
          <w:bCs/>
          <w:i/>
          <w:iCs/>
        </w:rPr>
      </w:pPr>
      <w:r>
        <w:rPr>
          <w:rFonts w:ascii="Times New Roman" w:hAnsi="Times New Roman" w:eastAsia="Times New Roman" w:cs="Times New Roman"/>
          <w:b/>
          <w:bCs/>
          <w:i/>
          <w:iCs/>
        </w:rPr>
        <w:t>Observation 2: Reporting of CLI at regular intervals is unnecessary, as it consumes uplink resources and affects network efficiency.</w:t>
      </w:r>
    </w:p>
    <w:p>
      <w:pPr>
        <w:spacing w:after="120"/>
        <w:jc w:val="both"/>
        <w:rPr>
          <w:rFonts w:ascii="Times New Roman" w:hAnsi="Times New Roman" w:eastAsia="Times New Roman" w:cs="Times New Roman"/>
          <w:b/>
          <w:bCs/>
          <w:i/>
          <w:iCs/>
        </w:rPr>
      </w:pPr>
      <w:r>
        <w:rPr>
          <w:rFonts w:ascii="Times New Roman" w:hAnsi="Times New Roman" w:eastAsia="Times New Roman" w:cs="Times New Roman"/>
          <w:b/>
          <w:bCs/>
          <w:i/>
          <w:iCs/>
        </w:rPr>
        <w:t>Proposal 2: For L1 based UE-to-UE CLI, support aperiodic reporting on PUSCH and threshold based periodic CLI reporting over PUCCH.</w:t>
      </w:r>
    </w:p>
    <w:p>
      <w:pPr>
        <w:spacing w:after="120"/>
        <w:jc w:val="both"/>
        <w:rPr>
          <w:rFonts w:ascii="Times New Roman" w:hAnsi="Times New Roman" w:eastAsia="Times New Roman" w:cs="Times New Roman"/>
          <w:b/>
          <w:bCs/>
          <w:i/>
          <w:iCs/>
        </w:rPr>
      </w:pPr>
      <w:r>
        <w:rPr>
          <w:rFonts w:ascii="Times New Roman" w:hAnsi="Times New Roman" w:eastAsia="Times New Roman" w:cs="Times New Roman"/>
          <w:b/>
          <w:bCs/>
          <w:i/>
          <w:iCs/>
        </w:rPr>
        <w:t>Observation 3: In SBFD, the interference level varies across PRBs depending on its position relative to UL subband and enabling subband reporting improve accuracy of measurement</w:t>
      </w:r>
    </w:p>
    <w:p>
      <w:pPr>
        <w:spacing w:after="120"/>
        <w:jc w:val="both"/>
        <w:rPr>
          <w:rFonts w:ascii="Times New Roman" w:hAnsi="Times New Roman" w:eastAsia="Times New Roman" w:cs="Times New Roman"/>
          <w:b/>
          <w:bCs/>
          <w:i/>
          <w:iCs/>
        </w:rPr>
      </w:pPr>
      <w:r>
        <w:rPr>
          <w:rFonts w:ascii="Times New Roman" w:hAnsi="Times New Roman" w:eastAsia="Times New Roman" w:cs="Times New Roman"/>
          <w:b/>
          <w:bCs/>
          <w:i/>
          <w:iCs/>
        </w:rPr>
        <w:t>Proposal 3: For L1 based UE-to-UE CLI reporting, subband CLI-RSSI reporting is supported.</w:t>
      </w:r>
    </w:p>
    <w:p>
      <w:pPr>
        <w:spacing w:after="120"/>
        <w:jc w:val="both"/>
        <w:rPr>
          <w:rFonts w:ascii="Times New Roman" w:hAnsi="Times New Roman" w:eastAsia="Times New Roman" w:cs="Times New Roman"/>
          <w:b/>
          <w:bCs/>
          <w:i/>
          <w:iCs/>
        </w:rPr>
      </w:pPr>
      <w:r>
        <w:rPr>
          <w:rFonts w:ascii="Times New Roman" w:hAnsi="Times New Roman" w:eastAsia="Times New Roman" w:cs="Times New Roman"/>
          <w:b/>
          <w:bCs/>
          <w:i/>
          <w:iCs/>
        </w:rPr>
        <w:t>Proposal 4: For L1 based UE-to-UE CLI measurement and reporting, introducing new IE (E.g., reportQuantity-CLI) in CSI-ReportConfig to configure the new report quantities to the UE is supported.</w:t>
      </w:r>
    </w:p>
    <w:p>
      <w:pPr>
        <w:spacing w:after="50"/>
        <w:jc w:val="both"/>
        <w:rPr>
          <w:rFonts w:ascii="Times New Roman" w:hAnsi="Times New Roman" w:eastAsia="Times New Roman" w:cs="Times New Roman"/>
          <w:b/>
          <w:bCs/>
          <w:i/>
          <w:iCs/>
        </w:rPr>
      </w:pPr>
      <w:r>
        <w:rPr>
          <w:rFonts w:ascii="Times New Roman" w:hAnsi="Times New Roman" w:eastAsia="Times New Roman" w:cs="Times New Roman"/>
          <w:b/>
          <w:bCs/>
          <w:i/>
          <w:iCs/>
        </w:rPr>
        <w:t>Proposal 5: Support threshold-based reporting for L1 based UE-to-UE CLI measurement and reporting.</w:t>
      </w:r>
    </w:p>
    <w:p>
      <w:pPr>
        <w:spacing w:after="0"/>
        <w:jc w:val="both"/>
        <w:rPr>
          <w:rFonts w:ascii="Times New Roman" w:hAnsi="Times New Roman" w:eastAsia="Times New Roman" w:cs="Times New Roman"/>
          <w:b/>
          <w:bCs/>
          <w:i/>
          <w:iCs/>
        </w:rPr>
      </w:pPr>
      <w:r>
        <w:rPr>
          <w:rFonts w:ascii="Times New Roman" w:hAnsi="Times New Roman" w:eastAsia="Times New Roman" w:cs="Times New Roman"/>
          <w:b/>
          <w:bCs/>
          <w:i/>
          <w:iCs/>
        </w:rPr>
        <w:t xml:space="preserve">Proposal 6: For determining priority for </w:t>
      </w:r>
      <w:r>
        <w:rPr>
          <w:rFonts w:ascii="Times New Roman" w:hAnsi="Times New Roman" w:eastAsia="Times New Roman" w:cs="Times New Roman"/>
          <w:b/>
          <w:bCs/>
          <w:i/>
          <w:iCs/>
          <w:color w:val="000000" w:themeColor="text1" w:themeTint="FF"/>
          <w14:textFill>
            <w14:solidFill>
              <w14:schemeClr w14:val="tx1">
                <w14:lumMod w14:val="100000"/>
                <w14:lumOff w14:val="0"/>
              </w14:schemeClr>
            </w14:solidFill>
          </w14:textFill>
        </w:rPr>
        <w:t>CSI reports carrying L1 UE-to-UE CLI report reusing</w:t>
      </w:r>
      <w:r>
        <w:rPr>
          <w:rFonts w:ascii="Times New Roman" w:hAnsi="Times New Roman" w:eastAsia="Times New Roman" w:cs="Times New Roman"/>
          <w:b/>
          <w:bCs/>
          <w:i/>
          <w:iCs/>
        </w:rPr>
        <w:t xml:space="preserve"> existing k =1 is supported.</w:t>
      </w:r>
    </w:p>
    <w:p>
      <w:pPr>
        <w:spacing w:after="0"/>
        <w:jc w:val="both"/>
        <w:rPr>
          <w:rFonts w:ascii="Times New Roman" w:hAnsi="Times New Roman" w:eastAsia="Times New Roman" w:cs="Times New Roman"/>
          <w:b/>
          <w:bCs/>
          <w:i/>
          <w:iCs/>
        </w:rPr>
      </w:pPr>
    </w:p>
    <w:p>
      <w:pPr>
        <w:pStyle w:val="3"/>
        <w:rPr>
          <w:rFonts w:eastAsia="Times New Roman"/>
        </w:rPr>
      </w:pPr>
      <w:r>
        <w:rPr>
          <w:rFonts w:eastAsia="Times New Roman"/>
        </w:rPr>
        <w:t xml:space="preserve">2.4 </w:t>
      </w:r>
      <w:r>
        <w:tab/>
      </w:r>
      <w:r>
        <w:rPr>
          <w:rFonts w:eastAsia="Times New Roman"/>
        </w:rPr>
        <w:t>References</w:t>
      </w:r>
    </w:p>
    <w:p>
      <w:pPr>
        <w:spacing w:after="0"/>
        <w:jc w:val="both"/>
        <w:rPr>
          <w:rFonts w:ascii="Times New Roman" w:hAnsi="Times New Roman" w:eastAsia="Times New Roman" w:cs="Times New Roman"/>
        </w:rPr>
      </w:pPr>
      <w:r>
        <w:rPr>
          <w:rFonts w:ascii="Times New Roman" w:hAnsi="Times New Roman" w:eastAsia="Times New Roman" w:cs="Times New Roman"/>
        </w:rPr>
        <w:t>[1]. Chair notes, 3GPP RAN1#118, Maastricht</w:t>
      </w:r>
      <w:r>
        <w:rPr>
          <w:rFonts w:ascii="Times New Roman" w:hAnsi="Times New Roman" w:eastAsia="Times New Roman" w:cs="Times New Roman"/>
          <w:sz w:val="22"/>
          <w:szCs w:val="22"/>
        </w:rPr>
        <w:t>, NL</w:t>
      </w:r>
      <w:r>
        <w:rPr>
          <w:rFonts w:ascii="Times New Roman" w:hAnsi="Times New Roman" w:eastAsia="Times New Roman" w:cs="Times New Roman"/>
        </w:rPr>
        <w:t xml:space="preserve"> August 19th - August 23, 2024.</w:t>
      </w:r>
    </w:p>
    <w:p>
      <w:pPr>
        <w:spacing w:after="0"/>
        <w:jc w:val="both"/>
        <w:rPr>
          <w:rFonts w:ascii="Times New Roman" w:hAnsi="Times New Roman" w:eastAsia="Times New Roman" w:cs="Times New Roman"/>
        </w:rPr>
      </w:pPr>
      <w:r>
        <w:rPr>
          <w:rFonts w:ascii="Times New Roman" w:hAnsi="Times New Roman" w:eastAsia="Times New Roman" w:cs="Times New Roman"/>
        </w:rPr>
        <w:t xml:space="preserve">[2]. </w:t>
      </w:r>
      <w:r>
        <w:rPr>
          <w:rFonts w:ascii="Times New Roman" w:hAnsi="Times New Roman" w:eastAsia="Times New Roman" w:cs="Times New Roman"/>
          <w:sz w:val="24"/>
          <w:szCs w:val="24"/>
          <w:lang w:val="en-US"/>
        </w:rPr>
        <w:t xml:space="preserve">R1-2407355 </w:t>
      </w:r>
      <w:r>
        <w:rPr>
          <w:rFonts w:ascii="Times New Roman" w:hAnsi="Times New Roman" w:eastAsia="Times New Roman" w:cs="Times New Roman"/>
        </w:rPr>
        <w:t>Summary #3 of CLI handling, 3GPP RAN1#118, Maastricht</w:t>
      </w:r>
      <w:r>
        <w:rPr>
          <w:rFonts w:ascii="Times New Roman" w:hAnsi="Times New Roman" w:eastAsia="Times New Roman" w:cs="Times New Roman"/>
          <w:sz w:val="22"/>
          <w:szCs w:val="22"/>
        </w:rPr>
        <w:t>, NL</w:t>
      </w:r>
      <w:r>
        <w:rPr>
          <w:rFonts w:ascii="Times New Roman" w:hAnsi="Times New Roman" w:eastAsia="Times New Roman" w:cs="Times New Roman"/>
        </w:rPr>
        <w:t xml:space="preserve"> August 19th - August 23, 2024.</w:t>
      </w:r>
    </w:p>
    <w:p>
      <w:pPr>
        <w:spacing w:after="0"/>
        <w:ind w:left="0"/>
        <w:jc w:val="both"/>
        <w:rPr>
          <w:rFonts w:ascii="Times New Roman" w:hAnsi="Times New Roman" w:eastAsia="Times New Roman" w:cs="Times New Roman"/>
          <w:sz w:val="24"/>
          <w:szCs w:val="24"/>
          <w:lang w:val="en-US"/>
        </w:rPr>
      </w:pPr>
      <w:r>
        <w:rPr>
          <w:rFonts w:ascii="Times New Roman" w:hAnsi="Times New Roman" w:eastAsia="Times New Roman" w:cs="Times New Roman"/>
        </w:rPr>
        <w:t xml:space="preserve">[3]. </w:t>
      </w:r>
      <w:r>
        <w:rPr>
          <w:rFonts w:ascii="Times New Roman" w:hAnsi="Times New Roman" w:eastAsia="Times New Roman" w:cs="Times New Roman"/>
          <w:sz w:val="24"/>
          <w:szCs w:val="24"/>
          <w:lang w:val="en-US"/>
        </w:rPr>
        <w:t>3GPP TS 38.214, Physical layer procedures for data</w:t>
      </w:r>
    </w:p>
    <w:p>
      <w:pPr>
        <w:spacing w:after="0"/>
        <w:jc w:val="both"/>
        <w:rPr>
          <w:rFonts w:ascii="Times New Roman" w:hAnsi="Times New Roman" w:eastAsia="Times New Roman" w:cs="Times New Roman"/>
        </w:rPr>
      </w:pPr>
    </w:p>
    <w:p>
      <w:pPr>
        <w:spacing w:after="0"/>
        <w:jc w:val="both"/>
        <w:rPr>
          <w:rFonts w:ascii="Times New Roman" w:hAnsi="Times New Roman" w:eastAsia="Times New Roman" w:cs="Times New Roman"/>
        </w:rPr>
      </w:pPr>
    </w:p>
    <w:p>
      <w:pPr>
        <w:spacing w:after="0"/>
        <w:jc w:val="both"/>
        <w:rPr>
          <w:rFonts w:ascii="Times New Roman" w:hAnsi="Times New Roman" w:eastAsia="Times New Roman" w:cs="Times New Roman"/>
          <w:b/>
          <w:bCs/>
          <w:i/>
          <w:iCs/>
        </w:rPr>
      </w:pPr>
    </w:p>
    <w:p>
      <w:pPr>
        <w:spacing w:after="50"/>
        <w:jc w:val="both"/>
        <w:rPr>
          <w:rFonts w:ascii="Times New Roman" w:hAnsi="Times New Roman" w:eastAsia="Times New Roman" w:cs="Times New Roman"/>
          <w:b/>
          <w:bCs/>
          <w:i/>
          <w:iCs/>
        </w:rPr>
      </w:pPr>
    </w:p>
    <w:p>
      <w:pPr>
        <w:spacing w:after="0" w:line="288" w:lineRule="auto"/>
        <w:rPr>
          <w:rFonts w:ascii="Times New Roman" w:hAnsi="Times New Roman" w:eastAsia="Times New Roman" w:cs="Times New Roman"/>
          <w:b/>
          <w:bCs/>
          <w:i/>
          <w:iCs/>
        </w:rPr>
      </w:pPr>
    </w:p>
    <w:p>
      <w:pPr>
        <w:spacing w:after="120"/>
        <w:jc w:val="both"/>
        <w:rPr>
          <w:rFonts w:ascii="Times New Roman" w:hAnsi="Times New Roman" w:eastAsia="Times New Roman" w:cs="Times New Roman"/>
          <w:b/>
          <w:bCs/>
          <w:i/>
          <w:iCs/>
        </w:rPr>
      </w:pPr>
    </w:p>
    <w:p>
      <w:pPr>
        <w:spacing w:after="120"/>
        <w:jc w:val="both"/>
        <w:rPr>
          <w:rFonts w:ascii="Times New Roman" w:hAnsi="Times New Roman" w:eastAsia="Times New Roman" w:cs="Times New Roman"/>
          <w:b/>
          <w:bCs/>
          <w:i/>
          <w:iCs/>
        </w:rPr>
      </w:pPr>
    </w:p>
    <w:p>
      <w:pPr>
        <w:spacing w:after="120"/>
        <w:jc w:val="both"/>
        <w:rPr>
          <w:rFonts w:ascii="Times New Roman" w:hAnsi="Times New Roman" w:eastAsia="Times New Roman" w:cs="Times New Roman"/>
          <w:b/>
          <w:bCs/>
          <w:i/>
          <w:iCs/>
        </w:rPr>
      </w:pPr>
    </w:p>
    <w:p>
      <w:pPr>
        <w:spacing w:after="120"/>
        <w:jc w:val="both"/>
        <w:rPr>
          <w:rFonts w:ascii="Times New Roman" w:hAnsi="Times New Roman" w:eastAsia="Times New Roman" w:cs="Times New Roman"/>
          <w:b/>
          <w:bCs/>
          <w:i/>
          <w:iCs/>
        </w:rPr>
      </w:pPr>
    </w:p>
    <w:p>
      <w:pPr>
        <w:spacing w:after="0"/>
        <w:jc w:val="both"/>
        <w:rPr>
          <w:rFonts w:ascii="Times New Roman" w:hAnsi="Times New Roman" w:eastAsia="Times New Roman" w:cs="Times New Roman"/>
          <w:b/>
          <w:bCs/>
          <w:sz w:val="28"/>
          <w:szCs w:val="28"/>
        </w:rPr>
      </w:pPr>
    </w:p>
    <w:p>
      <w:pPr>
        <w:spacing w:after="0"/>
        <w:jc w:val="both"/>
        <w:rPr>
          <w:rFonts w:ascii="Times New Roman" w:hAnsi="Times New Roman" w:eastAsia="Times New Roman" w:cs="Times New Roman"/>
          <w:b/>
          <w:bCs/>
          <w:i/>
          <w:iCs/>
        </w:rPr>
      </w:pPr>
    </w:p>
    <w:p>
      <w:pPr>
        <w:spacing w:after="0"/>
        <w:jc w:val="both"/>
        <w:rPr>
          <w:rFonts w:ascii="Times New Roman" w:hAnsi="Times New Roman" w:eastAsia="Times New Roman" w:cs="Times New Roman"/>
          <w:b/>
          <w:bCs/>
          <w:i/>
          <w:iCs/>
        </w:rPr>
      </w:pPr>
    </w:p>
    <w:p>
      <w:pPr>
        <w:spacing w:after="0"/>
        <w:jc w:val="both"/>
        <w:rPr>
          <w:rFonts w:ascii="Times New Roman" w:hAnsi="Times New Roman" w:eastAsia="Times New Roman" w:cs="Times New Roman"/>
          <w:b/>
          <w:bCs/>
          <w:i/>
          <w:iCs/>
        </w:rPr>
      </w:pPr>
    </w:p>
    <w:p>
      <w:pPr>
        <w:spacing w:after="50"/>
        <w:jc w:val="both"/>
        <w:rPr>
          <w:rFonts w:ascii="Times New Roman" w:hAnsi="Times New Roman" w:eastAsia="Times New Roman" w:cs="Times New Roman"/>
        </w:rPr>
      </w:pPr>
    </w:p>
    <w:p>
      <w:pPr>
        <w:spacing w:after="0" w:line="288" w:lineRule="auto"/>
        <w:rPr>
          <w:rFonts w:ascii="Times New Roman" w:hAnsi="Times New Roman" w:eastAsia="Times New Roman" w:cs="Times New Roman"/>
          <w:b/>
          <w:bCs/>
          <w:i/>
          <w:iCs/>
        </w:rPr>
      </w:pPr>
    </w:p>
    <w:p>
      <w:pPr>
        <w:spacing w:after="240"/>
        <w:jc w:val="both"/>
        <w:rPr>
          <w:rFonts w:ascii="Times New Roman" w:hAnsi="Times New Roman" w:eastAsia="Times New Roman" w:cs="Times New Roman"/>
          <w:b/>
          <w:bCs/>
          <w:i/>
          <w:iCs/>
        </w:rPr>
      </w:pPr>
    </w:p>
    <w:p>
      <w:pPr>
        <w:spacing w:before="60" w:after="60" w:line="288" w:lineRule="auto"/>
        <w:jc w:val="both"/>
        <w:rPr>
          <w:rFonts w:ascii="Times New Roman" w:hAnsi="Times New Roman" w:eastAsia="Times New Roman" w:cs="Times New Roman"/>
        </w:rPr>
      </w:pPr>
    </w:p>
    <w:p>
      <w:pPr>
        <w:spacing w:after="0"/>
        <w:jc w:val="both"/>
        <w:rPr>
          <w:rFonts w:ascii="Times New Roman" w:hAnsi="Times New Roman" w:eastAsia="Times New Roman" w:cs="Times New Roman"/>
        </w:rPr>
      </w:pPr>
      <w:r>
        <w:rPr>
          <w:rFonts w:ascii="Times New Roman" w:hAnsi="Times New Roman" w:eastAsia="Times New Roman" w:cs="Times New Roman"/>
          <w:sz w:val="28"/>
          <w:szCs w:val="28"/>
        </w:rPr>
        <w:t xml:space="preserve"> </w:t>
      </w: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Arial">
    <w:panose1 w:val="020B0604020202020204"/>
    <w:charset w:val="00"/>
    <w:family w:val="swiss"/>
    <w:pitch w:val="default"/>
    <w:sig w:usb0="00007A87" w:usb1="80000000" w:usb2="00000008" w:usb3="00000000" w:csb0="400001FF" w:csb1="FFFF0000"/>
  </w:font>
  <w:font w:name="黑体">
    <w:altName w:val="Droid Sans Fallback"/>
    <w:panose1 w:val="02010600030101010101"/>
    <w:charset w:val="00"/>
    <w:family w:val="auto"/>
    <w:pitch w:val="default"/>
    <w:sig w:usb0="00000001" w:usb1="080E0000" w:usb2="00000010" w:usb3="00000000" w:csb0="00040000" w:csb1="00000000"/>
  </w:font>
  <w:font w:name="Courier New">
    <w:panose1 w:val="02070309020205020404"/>
    <w:charset w:val="00"/>
    <w:family w:val="modern"/>
    <w:pitch w:val="default"/>
    <w:sig w:usb0="00007A87" w:usb1="80000000" w:usb2="00000008" w:usb3="00000000" w:csb0="400001FF" w:csb1="FFFF0000"/>
  </w:font>
  <w:font w:name="Calibri">
    <w:altName w:val="Arial"/>
    <w:panose1 w:val="020F0502020204030204"/>
    <w:charset w:val="00"/>
    <w:family w:val="swiss"/>
    <w:pitch w:val="default"/>
    <w:sig w:usb0="00000000" w:usb1="00000000" w:usb2="00000001" w:usb3="00000000" w:csb0="0000019F" w:csb1="00000000"/>
  </w:font>
  <w:font w:name="Droid Sans Fallback">
    <w:panose1 w:val="020B0502000000000001"/>
    <w:charset w:val="86"/>
    <w:family w:val="auto"/>
    <w:pitch w:val="default"/>
    <w:sig w:usb0="910002FF" w:usb1="2BDFFCFB" w:usb2="00000036" w:usb3="00000000" w:csb0="203F01FF" w:csb1="D7FF0000"/>
  </w:font>
  <w:font w:name="SimSun">
    <w:altName w:val="Droid Sans Fallback"/>
    <w:panose1 w:val="00000000000000000000"/>
    <w:charset w:val="86"/>
    <w:family w:val="auto"/>
    <w:pitch w:val="default"/>
    <w:sig w:usb0="00000000" w:usb1="00000000" w:usb2="00000000" w:usb3="00000000" w:csb0="00000000" w:csb1="00000000"/>
  </w:font>
  <w:font w:name="Aptos">
    <w:altName w:val="FreeSans"/>
    <w:panose1 w:val="020B0004020202020204"/>
    <w:charset w:val="00"/>
    <w:family w:val="swiss"/>
    <w:pitch w:val="default"/>
    <w:sig w:usb0="00000000" w:usb1="00000000" w:usb2="00000000" w:usb3="00000000" w:csb0="0000019F" w:csb1="00000000"/>
  </w:font>
  <w:font w:name="ＭＳ 明朝">
    <w:altName w:val="Droid Sans Fallback"/>
    <w:panose1 w:val="00000000000000000000"/>
    <w:charset w:val="86"/>
    <w:family w:val="auto"/>
    <w:pitch w:val="default"/>
    <w:sig w:usb0="00000000" w:usb1="00000000" w:usb2="00000000" w:usb3="00000000" w:csb0="00000000" w:csb1="00000000"/>
  </w:font>
  <w:font w:name="Aptos Display">
    <w:altName w:val="FreeSans"/>
    <w:panose1 w:val="020B0004020202020204"/>
    <w:charset w:val="00"/>
    <w:family w:val="swiss"/>
    <w:pitch w:val="default"/>
    <w:sig w:usb0="00000000" w:usb1="00000000" w:usb2="00000000" w:usb3="00000000" w:csb0="0000019F" w:csb1="00000000"/>
  </w:font>
  <w:font w:name="ＭＳ ゴシック">
    <w:altName w:val="Gubbi"/>
    <w:panose1 w:val="00000000000000000000"/>
    <w:charset w:val="00"/>
    <w:family w:val="auto"/>
    <w:pitch w:val="default"/>
    <w:sig w:usb0="00000000" w:usb1="00000000" w:usb2="00000000" w:usb3="00000000" w:csb0="00000000" w:csb1="00000000"/>
  </w:font>
  <w:font w:name="Times">
    <w:altName w:val="DejaVu Sans"/>
    <w:panose1 w:val="02020603050405020304"/>
    <w:charset w:val="00"/>
    <w:family w:val="roman"/>
    <w:pitch w:val="default"/>
    <w:sig w:usb0="00000000" w:usb1="00000000" w:usb2="00000009" w:usb3="00000000" w:csb0="000001FF" w:csb1="0000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ＭＳ 明朝">
    <w:altName w:val="Gubbi"/>
    <w:panose1 w:val="00000000000000000000"/>
    <w:charset w:val="00"/>
    <w:family w:val="auto"/>
    <w:pitch w:val="default"/>
    <w:sig w:usb0="00000000" w:usb1="00000000" w:usb2="00000000" w:usb3="00000000" w:csb0="00000000" w:csb1="00000000"/>
  </w:font>
  <w:font w:name="Gubbi">
    <w:panose1 w:val="00000400000000000000"/>
    <w:charset w:val="00"/>
    <w:family w:val="auto"/>
    <w:pitch w:val="default"/>
    <w:sig w:usb0="00400000" w:usb1="00000000" w:usb2="00000000" w:usb3="00000000" w:csb0="00000000" w:csb1="00000000"/>
  </w:font>
  <w:font w:name="FreeSans">
    <w:panose1 w:val="020B0504020202020204"/>
    <w:charset w:val="00"/>
    <w:family w:val="auto"/>
    <w:pitch w:val="default"/>
    <w:sig w:usb0="E4839EFF" w:usb1="4600FDFF" w:usb2="000030A0" w:usb3="00000584" w:csb0="600001BF" w:csb1="DFF7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E24F33"/>
    <w:multiLevelType w:val="multilevel"/>
    <w:tmpl w:val="41E24F33"/>
    <w:lvl w:ilvl="0" w:tentative="0">
      <w:start w:val="1"/>
      <w:numFmt w:val="bullet"/>
      <w:lvlText w:val="-"/>
      <w:lvlJc w:val="left"/>
      <w:pPr>
        <w:ind w:left="720" w:hanging="360"/>
      </w:pPr>
      <w:rPr>
        <w:rFonts w:hint="default" w:ascii="Times" w:hAnsi="Times"/>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
    <w:nsid w:val="573FF011"/>
    <w:multiLevelType w:val="multilevel"/>
    <w:tmpl w:val="573FF011"/>
    <w:lvl w:ilvl="0" w:tentative="0">
      <w:start w:val="1"/>
      <w:numFmt w:val="bullet"/>
      <w:lvlText w:val="-"/>
      <w:lvlJc w:val="left"/>
      <w:pPr>
        <w:ind w:left="720" w:hanging="360"/>
      </w:pPr>
      <w:rPr>
        <w:rFonts w:hint="default" w:ascii="Times" w:hAnsi="Times"/>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
    <w:nsid w:val="76BC9568"/>
    <w:multiLevelType w:val="multilevel"/>
    <w:tmpl w:val="76BC9568"/>
    <w:lvl w:ilvl="0" w:tentative="0">
      <w:start w:val="1"/>
      <w:numFmt w:val="bullet"/>
      <w:lvlText w:val="-"/>
      <w:lvlJc w:val="left"/>
      <w:pPr>
        <w:ind w:left="720" w:hanging="360"/>
      </w:pPr>
      <w:rPr>
        <w:rFonts w:hint="default" w:ascii="Times" w:hAnsi="Times"/>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
    <w:nsid w:val="7D6CBA9B"/>
    <w:multiLevelType w:val="multilevel"/>
    <w:tmpl w:val="7D6CBA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74B11DC"/>
    <w:rsid w:val="000B4EDD"/>
    <w:rsid w:val="000CB8BE"/>
    <w:rsid w:val="001246C1"/>
    <w:rsid w:val="00211337"/>
    <w:rsid w:val="002C598E"/>
    <w:rsid w:val="0033565C"/>
    <w:rsid w:val="00345F5E"/>
    <w:rsid w:val="00404948"/>
    <w:rsid w:val="00517B7D"/>
    <w:rsid w:val="005D2717"/>
    <w:rsid w:val="00682DAF"/>
    <w:rsid w:val="006D72D5"/>
    <w:rsid w:val="0083777C"/>
    <w:rsid w:val="008466EA"/>
    <w:rsid w:val="009577D5"/>
    <w:rsid w:val="00A23B7D"/>
    <w:rsid w:val="00BB1BDA"/>
    <w:rsid w:val="00D442B8"/>
    <w:rsid w:val="00E64862"/>
    <w:rsid w:val="00E9489D"/>
    <w:rsid w:val="00EE4FFF"/>
    <w:rsid w:val="00F211C9"/>
    <w:rsid w:val="01352E24"/>
    <w:rsid w:val="0152FA50"/>
    <w:rsid w:val="01CDAC44"/>
    <w:rsid w:val="023F6EC9"/>
    <w:rsid w:val="0244EEE7"/>
    <w:rsid w:val="03BC3335"/>
    <w:rsid w:val="041EB6B0"/>
    <w:rsid w:val="0440ED03"/>
    <w:rsid w:val="044F6772"/>
    <w:rsid w:val="048B5884"/>
    <w:rsid w:val="048C858A"/>
    <w:rsid w:val="0499210A"/>
    <w:rsid w:val="04A92A00"/>
    <w:rsid w:val="04AE30A3"/>
    <w:rsid w:val="0513F720"/>
    <w:rsid w:val="054E3863"/>
    <w:rsid w:val="0599464D"/>
    <w:rsid w:val="059AFB46"/>
    <w:rsid w:val="05A54D16"/>
    <w:rsid w:val="06224E4C"/>
    <w:rsid w:val="065482AC"/>
    <w:rsid w:val="065CEAF2"/>
    <w:rsid w:val="068467CA"/>
    <w:rsid w:val="0693C47E"/>
    <w:rsid w:val="06C9C788"/>
    <w:rsid w:val="06D64FAB"/>
    <w:rsid w:val="06FC5258"/>
    <w:rsid w:val="070BF86B"/>
    <w:rsid w:val="07597E86"/>
    <w:rsid w:val="078D1D47"/>
    <w:rsid w:val="07A6DA62"/>
    <w:rsid w:val="07ACF979"/>
    <w:rsid w:val="07ADB40F"/>
    <w:rsid w:val="0892B68C"/>
    <w:rsid w:val="08C81398"/>
    <w:rsid w:val="08E2F5B6"/>
    <w:rsid w:val="08F914C1"/>
    <w:rsid w:val="09286202"/>
    <w:rsid w:val="095F20D3"/>
    <w:rsid w:val="09B20BEF"/>
    <w:rsid w:val="09E97C11"/>
    <w:rsid w:val="0A01241F"/>
    <w:rsid w:val="0A27F271"/>
    <w:rsid w:val="0A515171"/>
    <w:rsid w:val="0A6E3AEF"/>
    <w:rsid w:val="0A830794"/>
    <w:rsid w:val="0AAD466C"/>
    <w:rsid w:val="0AB7CF41"/>
    <w:rsid w:val="0B1AD7E5"/>
    <w:rsid w:val="0B2B1319"/>
    <w:rsid w:val="0BE3A4FF"/>
    <w:rsid w:val="0C3264DE"/>
    <w:rsid w:val="0C7E8A3F"/>
    <w:rsid w:val="0C991BF8"/>
    <w:rsid w:val="0CAAE178"/>
    <w:rsid w:val="0CC959B8"/>
    <w:rsid w:val="0D00B6A8"/>
    <w:rsid w:val="0D1CE839"/>
    <w:rsid w:val="0D274DC2"/>
    <w:rsid w:val="0D70D848"/>
    <w:rsid w:val="0D78B8D8"/>
    <w:rsid w:val="0D8BBD3B"/>
    <w:rsid w:val="0D983832"/>
    <w:rsid w:val="0DDC63E9"/>
    <w:rsid w:val="0DDFF64D"/>
    <w:rsid w:val="0DEABBC7"/>
    <w:rsid w:val="0EB8924E"/>
    <w:rsid w:val="0F4DB05E"/>
    <w:rsid w:val="0FB0A773"/>
    <w:rsid w:val="0FEFB81C"/>
    <w:rsid w:val="10094F68"/>
    <w:rsid w:val="10254C4C"/>
    <w:rsid w:val="102E1F2A"/>
    <w:rsid w:val="1055890F"/>
    <w:rsid w:val="10A12239"/>
    <w:rsid w:val="10ADCBCD"/>
    <w:rsid w:val="10DC80FC"/>
    <w:rsid w:val="1150F187"/>
    <w:rsid w:val="11BAE7E9"/>
    <w:rsid w:val="11C380CE"/>
    <w:rsid w:val="11DE67DA"/>
    <w:rsid w:val="1203AB25"/>
    <w:rsid w:val="1213D1A0"/>
    <w:rsid w:val="122585A2"/>
    <w:rsid w:val="12619B0D"/>
    <w:rsid w:val="12F59072"/>
    <w:rsid w:val="130B2BB5"/>
    <w:rsid w:val="138C907D"/>
    <w:rsid w:val="13A7CFC7"/>
    <w:rsid w:val="143A6691"/>
    <w:rsid w:val="14B543FF"/>
    <w:rsid w:val="14D72FD7"/>
    <w:rsid w:val="14D929CA"/>
    <w:rsid w:val="14E80C03"/>
    <w:rsid w:val="14FC01BB"/>
    <w:rsid w:val="1525CAE9"/>
    <w:rsid w:val="156E7731"/>
    <w:rsid w:val="15A4553D"/>
    <w:rsid w:val="16046747"/>
    <w:rsid w:val="163C00BA"/>
    <w:rsid w:val="16CE5CFE"/>
    <w:rsid w:val="173FA2C4"/>
    <w:rsid w:val="17418FA0"/>
    <w:rsid w:val="174B11DC"/>
    <w:rsid w:val="176FC6A8"/>
    <w:rsid w:val="17B3CA3C"/>
    <w:rsid w:val="18893A0C"/>
    <w:rsid w:val="18A288C8"/>
    <w:rsid w:val="18CF918B"/>
    <w:rsid w:val="19B64FE0"/>
    <w:rsid w:val="19B6D696"/>
    <w:rsid w:val="19CCA7F2"/>
    <w:rsid w:val="19DE3889"/>
    <w:rsid w:val="19E6A4D7"/>
    <w:rsid w:val="19E6D2F8"/>
    <w:rsid w:val="19FFA5C6"/>
    <w:rsid w:val="1A2E783F"/>
    <w:rsid w:val="1A7E3055"/>
    <w:rsid w:val="1A8F700B"/>
    <w:rsid w:val="1AD60B7E"/>
    <w:rsid w:val="1BD9C95D"/>
    <w:rsid w:val="1C8BE4D6"/>
    <w:rsid w:val="1CB87AA1"/>
    <w:rsid w:val="1CC098CB"/>
    <w:rsid w:val="1CD2FA7B"/>
    <w:rsid w:val="1CFB0944"/>
    <w:rsid w:val="1D195B02"/>
    <w:rsid w:val="1D255DE9"/>
    <w:rsid w:val="1D50E97E"/>
    <w:rsid w:val="1D665DA2"/>
    <w:rsid w:val="1E02BC08"/>
    <w:rsid w:val="1E270373"/>
    <w:rsid w:val="1E424971"/>
    <w:rsid w:val="1E4E8BDE"/>
    <w:rsid w:val="1E52488F"/>
    <w:rsid w:val="1E8F5771"/>
    <w:rsid w:val="1ECC9990"/>
    <w:rsid w:val="1EE497EE"/>
    <w:rsid w:val="1F10926E"/>
    <w:rsid w:val="1F217E56"/>
    <w:rsid w:val="1F264E61"/>
    <w:rsid w:val="1F2B22C3"/>
    <w:rsid w:val="1F896625"/>
    <w:rsid w:val="2021BB2F"/>
    <w:rsid w:val="202D44BB"/>
    <w:rsid w:val="20408579"/>
    <w:rsid w:val="205C404D"/>
    <w:rsid w:val="20C7B929"/>
    <w:rsid w:val="20CC60C3"/>
    <w:rsid w:val="220CCB43"/>
    <w:rsid w:val="22256FC3"/>
    <w:rsid w:val="2250124C"/>
    <w:rsid w:val="227D016E"/>
    <w:rsid w:val="22C38EE1"/>
    <w:rsid w:val="22FE860B"/>
    <w:rsid w:val="23134BFD"/>
    <w:rsid w:val="234A1826"/>
    <w:rsid w:val="2359CDD7"/>
    <w:rsid w:val="2364B57C"/>
    <w:rsid w:val="24076693"/>
    <w:rsid w:val="241DC8BF"/>
    <w:rsid w:val="2423210F"/>
    <w:rsid w:val="243337E3"/>
    <w:rsid w:val="2466D2BD"/>
    <w:rsid w:val="24996147"/>
    <w:rsid w:val="24DADF06"/>
    <w:rsid w:val="24EDF0BD"/>
    <w:rsid w:val="24EEF72E"/>
    <w:rsid w:val="2506F3F5"/>
    <w:rsid w:val="253299F9"/>
    <w:rsid w:val="25A4C89E"/>
    <w:rsid w:val="25ABED73"/>
    <w:rsid w:val="2609A67F"/>
    <w:rsid w:val="267BC54D"/>
    <w:rsid w:val="2699C8AD"/>
    <w:rsid w:val="26E21984"/>
    <w:rsid w:val="27133841"/>
    <w:rsid w:val="27C07B1B"/>
    <w:rsid w:val="27EC7B8E"/>
    <w:rsid w:val="27F36DC0"/>
    <w:rsid w:val="27F4DA99"/>
    <w:rsid w:val="286A3955"/>
    <w:rsid w:val="2872FCEC"/>
    <w:rsid w:val="28AAF6FD"/>
    <w:rsid w:val="292691E6"/>
    <w:rsid w:val="295489B2"/>
    <w:rsid w:val="295FD80B"/>
    <w:rsid w:val="2960FB10"/>
    <w:rsid w:val="29B3A46E"/>
    <w:rsid w:val="29F2865A"/>
    <w:rsid w:val="2AA36C83"/>
    <w:rsid w:val="2B1CF724"/>
    <w:rsid w:val="2BA76EF8"/>
    <w:rsid w:val="2BAD1F78"/>
    <w:rsid w:val="2C116A77"/>
    <w:rsid w:val="2C4F570C"/>
    <w:rsid w:val="2C573D1B"/>
    <w:rsid w:val="2C91B6AA"/>
    <w:rsid w:val="2CA0A0BD"/>
    <w:rsid w:val="2CA4F898"/>
    <w:rsid w:val="2CBD26C0"/>
    <w:rsid w:val="2CEBDEAE"/>
    <w:rsid w:val="2D2543C2"/>
    <w:rsid w:val="2D312628"/>
    <w:rsid w:val="2D76B9D4"/>
    <w:rsid w:val="2D95C02B"/>
    <w:rsid w:val="2DC29C15"/>
    <w:rsid w:val="2E207094"/>
    <w:rsid w:val="2E22E15B"/>
    <w:rsid w:val="2E2E1696"/>
    <w:rsid w:val="2E35DF30"/>
    <w:rsid w:val="2E39C93D"/>
    <w:rsid w:val="2EA5D5B6"/>
    <w:rsid w:val="2EA688E5"/>
    <w:rsid w:val="2F201B64"/>
    <w:rsid w:val="2F8EE97D"/>
    <w:rsid w:val="2FB30475"/>
    <w:rsid w:val="2FB59B6F"/>
    <w:rsid w:val="2FDFC4F6"/>
    <w:rsid w:val="3024D7E1"/>
    <w:rsid w:val="304FF7C6"/>
    <w:rsid w:val="30851046"/>
    <w:rsid w:val="30CECE8D"/>
    <w:rsid w:val="3116AE8B"/>
    <w:rsid w:val="31183572"/>
    <w:rsid w:val="3147D900"/>
    <w:rsid w:val="316964C7"/>
    <w:rsid w:val="31913BC9"/>
    <w:rsid w:val="31EE0048"/>
    <w:rsid w:val="31FB20C6"/>
    <w:rsid w:val="320B4067"/>
    <w:rsid w:val="3284B9C7"/>
    <w:rsid w:val="32DAB6EB"/>
    <w:rsid w:val="32F1198C"/>
    <w:rsid w:val="3300C2F1"/>
    <w:rsid w:val="33338838"/>
    <w:rsid w:val="33522525"/>
    <w:rsid w:val="336F98BA"/>
    <w:rsid w:val="33D3D9C4"/>
    <w:rsid w:val="33F26EFA"/>
    <w:rsid w:val="33F34EFB"/>
    <w:rsid w:val="345E6F35"/>
    <w:rsid w:val="3491A6F1"/>
    <w:rsid w:val="34CC17DC"/>
    <w:rsid w:val="34D611C5"/>
    <w:rsid w:val="352F0290"/>
    <w:rsid w:val="354E0613"/>
    <w:rsid w:val="3583869F"/>
    <w:rsid w:val="35B269CF"/>
    <w:rsid w:val="35F854E6"/>
    <w:rsid w:val="35FCCF40"/>
    <w:rsid w:val="360F9BB1"/>
    <w:rsid w:val="3615B180"/>
    <w:rsid w:val="3648AF80"/>
    <w:rsid w:val="3648CA3C"/>
    <w:rsid w:val="367351BA"/>
    <w:rsid w:val="36F09BC3"/>
    <w:rsid w:val="376C18E4"/>
    <w:rsid w:val="379AAD03"/>
    <w:rsid w:val="37A5E677"/>
    <w:rsid w:val="37D71279"/>
    <w:rsid w:val="37DBC6D8"/>
    <w:rsid w:val="37FE5A53"/>
    <w:rsid w:val="38873754"/>
    <w:rsid w:val="3895AD2C"/>
    <w:rsid w:val="39585A8B"/>
    <w:rsid w:val="39A1FC61"/>
    <w:rsid w:val="3ACE0383"/>
    <w:rsid w:val="3AF8B9CE"/>
    <w:rsid w:val="3B01C14D"/>
    <w:rsid w:val="3B04E8C3"/>
    <w:rsid w:val="3B1F6788"/>
    <w:rsid w:val="3BB3F134"/>
    <w:rsid w:val="3C2F1E68"/>
    <w:rsid w:val="3C43A870"/>
    <w:rsid w:val="3C9E9D1E"/>
    <w:rsid w:val="3CA117EE"/>
    <w:rsid w:val="3CAF75B7"/>
    <w:rsid w:val="3CC7E37F"/>
    <w:rsid w:val="3E202110"/>
    <w:rsid w:val="3EB3ED3D"/>
    <w:rsid w:val="3EDD6F29"/>
    <w:rsid w:val="3EE3F74A"/>
    <w:rsid w:val="3EF1D63F"/>
    <w:rsid w:val="3F88AE01"/>
    <w:rsid w:val="3FFE3EF9"/>
    <w:rsid w:val="400FF9DC"/>
    <w:rsid w:val="40279545"/>
    <w:rsid w:val="4033CE85"/>
    <w:rsid w:val="40525879"/>
    <w:rsid w:val="4070A03D"/>
    <w:rsid w:val="4079981A"/>
    <w:rsid w:val="40A0FBC3"/>
    <w:rsid w:val="40ACDB0E"/>
    <w:rsid w:val="41166031"/>
    <w:rsid w:val="412EDDF6"/>
    <w:rsid w:val="414B5649"/>
    <w:rsid w:val="41A16683"/>
    <w:rsid w:val="41C76B02"/>
    <w:rsid w:val="41E31252"/>
    <w:rsid w:val="41E70AD2"/>
    <w:rsid w:val="428D9E26"/>
    <w:rsid w:val="42940BF9"/>
    <w:rsid w:val="42CB6745"/>
    <w:rsid w:val="42F4F52C"/>
    <w:rsid w:val="4364B8A0"/>
    <w:rsid w:val="43793201"/>
    <w:rsid w:val="43B5F541"/>
    <w:rsid w:val="43BDB743"/>
    <w:rsid w:val="43E31889"/>
    <w:rsid w:val="441E9793"/>
    <w:rsid w:val="442EFF59"/>
    <w:rsid w:val="445ADF04"/>
    <w:rsid w:val="447F0AB4"/>
    <w:rsid w:val="44E6A7AC"/>
    <w:rsid w:val="4529C4A9"/>
    <w:rsid w:val="453B247E"/>
    <w:rsid w:val="4569D413"/>
    <w:rsid w:val="4575D21C"/>
    <w:rsid w:val="45874B3F"/>
    <w:rsid w:val="460AB5C1"/>
    <w:rsid w:val="466E03FD"/>
    <w:rsid w:val="4688320A"/>
    <w:rsid w:val="46A6E51E"/>
    <w:rsid w:val="46BC31F4"/>
    <w:rsid w:val="46DD8216"/>
    <w:rsid w:val="46F78964"/>
    <w:rsid w:val="472995AE"/>
    <w:rsid w:val="472B5B0F"/>
    <w:rsid w:val="475214CE"/>
    <w:rsid w:val="47578A12"/>
    <w:rsid w:val="47EE0346"/>
    <w:rsid w:val="47F4DB94"/>
    <w:rsid w:val="48075DF1"/>
    <w:rsid w:val="48A110AF"/>
    <w:rsid w:val="48D819D3"/>
    <w:rsid w:val="496A021C"/>
    <w:rsid w:val="49C8E7B7"/>
    <w:rsid w:val="49DB95CC"/>
    <w:rsid w:val="49DBBC98"/>
    <w:rsid w:val="49E4F32C"/>
    <w:rsid w:val="49EAA894"/>
    <w:rsid w:val="49F84336"/>
    <w:rsid w:val="4A31B52C"/>
    <w:rsid w:val="4A34271D"/>
    <w:rsid w:val="4A3E8BC5"/>
    <w:rsid w:val="4A773C64"/>
    <w:rsid w:val="4B300707"/>
    <w:rsid w:val="4B3D95A3"/>
    <w:rsid w:val="4B4D15FE"/>
    <w:rsid w:val="4B67A6CE"/>
    <w:rsid w:val="4B8ED258"/>
    <w:rsid w:val="4BAA740A"/>
    <w:rsid w:val="4C9C6511"/>
    <w:rsid w:val="4CC0FDED"/>
    <w:rsid w:val="4CCEBFBD"/>
    <w:rsid w:val="4CFDA00A"/>
    <w:rsid w:val="4D93904A"/>
    <w:rsid w:val="4DADCDFD"/>
    <w:rsid w:val="4DC272C7"/>
    <w:rsid w:val="4E00C822"/>
    <w:rsid w:val="4E519562"/>
    <w:rsid w:val="4F6246B9"/>
    <w:rsid w:val="4FAB3B76"/>
    <w:rsid w:val="501B0944"/>
    <w:rsid w:val="505E0036"/>
    <w:rsid w:val="505EA7CB"/>
    <w:rsid w:val="50626CC3"/>
    <w:rsid w:val="50743734"/>
    <w:rsid w:val="50EDA439"/>
    <w:rsid w:val="514BDB97"/>
    <w:rsid w:val="51B3290F"/>
    <w:rsid w:val="52751E33"/>
    <w:rsid w:val="532FCFB2"/>
    <w:rsid w:val="5344F5ED"/>
    <w:rsid w:val="534B14B6"/>
    <w:rsid w:val="53BB258F"/>
    <w:rsid w:val="54113A3C"/>
    <w:rsid w:val="541BA444"/>
    <w:rsid w:val="542173DA"/>
    <w:rsid w:val="54234E37"/>
    <w:rsid w:val="5461AC12"/>
    <w:rsid w:val="54726339"/>
    <w:rsid w:val="547D0AF2"/>
    <w:rsid w:val="54A0A915"/>
    <w:rsid w:val="54B3E8A5"/>
    <w:rsid w:val="54CEE147"/>
    <w:rsid w:val="55069620"/>
    <w:rsid w:val="553157A8"/>
    <w:rsid w:val="56673683"/>
    <w:rsid w:val="5687F6E2"/>
    <w:rsid w:val="56894686"/>
    <w:rsid w:val="56980C75"/>
    <w:rsid w:val="56D2C648"/>
    <w:rsid w:val="573CBDFF"/>
    <w:rsid w:val="577294F3"/>
    <w:rsid w:val="577E3277"/>
    <w:rsid w:val="57B752A5"/>
    <w:rsid w:val="57BADC82"/>
    <w:rsid w:val="57EB5279"/>
    <w:rsid w:val="5827815E"/>
    <w:rsid w:val="58514F4D"/>
    <w:rsid w:val="58682C51"/>
    <w:rsid w:val="5875A8FE"/>
    <w:rsid w:val="592F331D"/>
    <w:rsid w:val="593018FD"/>
    <w:rsid w:val="59372857"/>
    <w:rsid w:val="5965F7D9"/>
    <w:rsid w:val="5974DF1E"/>
    <w:rsid w:val="598D2B65"/>
    <w:rsid w:val="59AB954C"/>
    <w:rsid w:val="59C4AFC6"/>
    <w:rsid w:val="5A37B087"/>
    <w:rsid w:val="5A49F2E1"/>
    <w:rsid w:val="5A5E4EB8"/>
    <w:rsid w:val="5A74597D"/>
    <w:rsid w:val="5A803138"/>
    <w:rsid w:val="5B0E0E23"/>
    <w:rsid w:val="5B1FD0C9"/>
    <w:rsid w:val="5B2E4D9C"/>
    <w:rsid w:val="5B65AE82"/>
    <w:rsid w:val="5B9A09DF"/>
    <w:rsid w:val="5BA23622"/>
    <w:rsid w:val="5BA7D05A"/>
    <w:rsid w:val="5BB8FF46"/>
    <w:rsid w:val="5C58F431"/>
    <w:rsid w:val="5C9F56AE"/>
    <w:rsid w:val="5CBBCD78"/>
    <w:rsid w:val="5CBD36AF"/>
    <w:rsid w:val="5CDCE095"/>
    <w:rsid w:val="5CEC3B40"/>
    <w:rsid w:val="5D06FC6A"/>
    <w:rsid w:val="5D9EB4A0"/>
    <w:rsid w:val="5DAB6A07"/>
    <w:rsid w:val="5DC900EC"/>
    <w:rsid w:val="5DDF4F62"/>
    <w:rsid w:val="5DEA9E1E"/>
    <w:rsid w:val="5E47D133"/>
    <w:rsid w:val="5E72895D"/>
    <w:rsid w:val="5E7BB7FB"/>
    <w:rsid w:val="5E91E2C1"/>
    <w:rsid w:val="5EE43A35"/>
    <w:rsid w:val="5F2A648E"/>
    <w:rsid w:val="5F642584"/>
    <w:rsid w:val="5F6E93E9"/>
    <w:rsid w:val="5FC010EB"/>
    <w:rsid w:val="5FE252CD"/>
    <w:rsid w:val="5FF5A628"/>
    <w:rsid w:val="60012571"/>
    <w:rsid w:val="602D8E7E"/>
    <w:rsid w:val="6068A3A9"/>
    <w:rsid w:val="60921274"/>
    <w:rsid w:val="60CCD741"/>
    <w:rsid w:val="60DB77E5"/>
    <w:rsid w:val="60DD163C"/>
    <w:rsid w:val="611869BE"/>
    <w:rsid w:val="61651A77"/>
    <w:rsid w:val="6194164E"/>
    <w:rsid w:val="62213369"/>
    <w:rsid w:val="62301261"/>
    <w:rsid w:val="625AF296"/>
    <w:rsid w:val="62949FC8"/>
    <w:rsid w:val="63370AD6"/>
    <w:rsid w:val="636F769E"/>
    <w:rsid w:val="63ABFFF8"/>
    <w:rsid w:val="644C9DB6"/>
    <w:rsid w:val="6478D0F4"/>
    <w:rsid w:val="647BC124"/>
    <w:rsid w:val="64FF1681"/>
    <w:rsid w:val="6566E12C"/>
    <w:rsid w:val="658F50EA"/>
    <w:rsid w:val="65952C2E"/>
    <w:rsid w:val="659711CC"/>
    <w:rsid w:val="65D0D2FE"/>
    <w:rsid w:val="6605F416"/>
    <w:rsid w:val="6624837C"/>
    <w:rsid w:val="663AE740"/>
    <w:rsid w:val="6707C190"/>
    <w:rsid w:val="671495DD"/>
    <w:rsid w:val="6722D234"/>
    <w:rsid w:val="67B16A40"/>
    <w:rsid w:val="67C061B2"/>
    <w:rsid w:val="67F410F2"/>
    <w:rsid w:val="68022960"/>
    <w:rsid w:val="6869D1F4"/>
    <w:rsid w:val="689F0BE0"/>
    <w:rsid w:val="68BE71D9"/>
    <w:rsid w:val="68D31B30"/>
    <w:rsid w:val="6936D319"/>
    <w:rsid w:val="6944BFD8"/>
    <w:rsid w:val="69801400"/>
    <w:rsid w:val="699E6F65"/>
    <w:rsid w:val="6A26B1FF"/>
    <w:rsid w:val="6A31342B"/>
    <w:rsid w:val="6A3FE8BA"/>
    <w:rsid w:val="6AA9FE33"/>
    <w:rsid w:val="6AADFFCD"/>
    <w:rsid w:val="6AC37FF1"/>
    <w:rsid w:val="6B76F4FE"/>
    <w:rsid w:val="6B7DC008"/>
    <w:rsid w:val="6B944AC8"/>
    <w:rsid w:val="6B9CB91C"/>
    <w:rsid w:val="6BA3AE43"/>
    <w:rsid w:val="6BB87CF0"/>
    <w:rsid w:val="6BFA7BCB"/>
    <w:rsid w:val="6C0F0C2C"/>
    <w:rsid w:val="6C30C710"/>
    <w:rsid w:val="6C95DB2D"/>
    <w:rsid w:val="6C9ECE1D"/>
    <w:rsid w:val="6CDE941D"/>
    <w:rsid w:val="6D286513"/>
    <w:rsid w:val="6D82E119"/>
    <w:rsid w:val="6D9FBD02"/>
    <w:rsid w:val="6DAC2EA6"/>
    <w:rsid w:val="6E28A8D6"/>
    <w:rsid w:val="6E346012"/>
    <w:rsid w:val="6E7408EC"/>
    <w:rsid w:val="6E883A4B"/>
    <w:rsid w:val="6EBB19EC"/>
    <w:rsid w:val="6EDCD3C6"/>
    <w:rsid w:val="6EE4D11F"/>
    <w:rsid w:val="6F124DC0"/>
    <w:rsid w:val="6F7A0D6A"/>
    <w:rsid w:val="702BA87E"/>
    <w:rsid w:val="708EA9C9"/>
    <w:rsid w:val="708F6D6C"/>
    <w:rsid w:val="726355E6"/>
    <w:rsid w:val="72690CFF"/>
    <w:rsid w:val="728AB55B"/>
    <w:rsid w:val="72A16ABA"/>
    <w:rsid w:val="737DB1A2"/>
    <w:rsid w:val="73AD7A99"/>
    <w:rsid w:val="73FBC3EF"/>
    <w:rsid w:val="7595A4FB"/>
    <w:rsid w:val="75AE0626"/>
    <w:rsid w:val="75E3EAAA"/>
    <w:rsid w:val="76081A0B"/>
    <w:rsid w:val="763EA527"/>
    <w:rsid w:val="76637A8C"/>
    <w:rsid w:val="7692AF06"/>
    <w:rsid w:val="76A66441"/>
    <w:rsid w:val="76C0BA4A"/>
    <w:rsid w:val="76E87154"/>
    <w:rsid w:val="76F0C340"/>
    <w:rsid w:val="77043AA8"/>
    <w:rsid w:val="77288A9D"/>
    <w:rsid w:val="77427C77"/>
    <w:rsid w:val="7764EA6C"/>
    <w:rsid w:val="781185E4"/>
    <w:rsid w:val="7814E006"/>
    <w:rsid w:val="7816A037"/>
    <w:rsid w:val="78A644A1"/>
    <w:rsid w:val="78CCC800"/>
    <w:rsid w:val="78F5EADE"/>
    <w:rsid w:val="79048045"/>
    <w:rsid w:val="79437148"/>
    <w:rsid w:val="7978C810"/>
    <w:rsid w:val="79900018"/>
    <w:rsid w:val="79924588"/>
    <w:rsid w:val="79B61D40"/>
    <w:rsid w:val="79CCE575"/>
    <w:rsid w:val="7A438179"/>
    <w:rsid w:val="7AF3CBB5"/>
    <w:rsid w:val="7B0DE5E4"/>
    <w:rsid w:val="7B313057"/>
    <w:rsid w:val="7B3C468A"/>
    <w:rsid w:val="7BA0A959"/>
    <w:rsid w:val="7C7F5A1F"/>
    <w:rsid w:val="7CF40D6F"/>
    <w:rsid w:val="7D3848D3"/>
    <w:rsid w:val="7D3B9449"/>
    <w:rsid w:val="7DD34D08"/>
    <w:rsid w:val="7DDBAA3A"/>
    <w:rsid w:val="7DE2D3DB"/>
    <w:rsid w:val="7DF44850"/>
    <w:rsid w:val="7E0E2B0D"/>
    <w:rsid w:val="7E27E7C4"/>
    <w:rsid w:val="7E4BC6E8"/>
    <w:rsid w:val="7E7978A1"/>
    <w:rsid w:val="7EA9ACF8"/>
    <w:rsid w:val="7EC4D4E5"/>
    <w:rsid w:val="7EDFD9A2"/>
    <w:rsid w:val="7F22FEC4"/>
    <w:rsid w:val="7F4AF55B"/>
    <w:rsid w:val="7FE80C40"/>
    <w:rsid w:val="BFF75BC9"/>
    <w:rsid w:val="F9DE99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79" w:lineRule="auto"/>
    </w:pPr>
    <w:rPr>
      <w:rFonts w:asciiTheme="minorHAnsi" w:hAnsiTheme="minorHAnsi" w:eastAsiaTheme="minorEastAsia" w:cstheme="minorBidi"/>
      <w:sz w:val="24"/>
      <w:szCs w:val="24"/>
      <w:lang w:val="en-US" w:eastAsia="ja-JP" w:bidi="ar-SA"/>
    </w:rPr>
  </w:style>
  <w:style w:type="paragraph" w:styleId="2">
    <w:name w:val="heading 1"/>
    <w:basedOn w:val="1"/>
    <w:next w:val="1"/>
    <w:link w:val="19"/>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40"/>
    </w:rPr>
  </w:style>
  <w:style w:type="paragraph" w:styleId="3">
    <w:name w:val="heading 2"/>
    <w:basedOn w:val="1"/>
    <w:next w:val="1"/>
    <w:link w:val="20"/>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32"/>
      <w:szCs w:val="32"/>
    </w:rPr>
  </w:style>
  <w:style w:type="paragraph" w:styleId="4">
    <w:name w:val="heading 3"/>
    <w:basedOn w:val="1"/>
    <w:next w:val="1"/>
    <w:link w:val="21"/>
    <w:unhideWhenUsed/>
    <w:qFormat/>
    <w:uiPriority w:val="9"/>
    <w:pPr>
      <w:keepNext/>
      <w:keepLines/>
      <w:spacing w:before="160" w:after="80"/>
      <w:outlineLvl w:val="2"/>
    </w:pPr>
    <w:rPr>
      <w:rFonts w:eastAsiaTheme="majorEastAsia" w:cstheme="majorBidi"/>
      <w:color w:val="104862" w:themeColor="accent1" w:themeShade="BF"/>
      <w:sz w:val="28"/>
      <w:szCs w:val="28"/>
    </w:rPr>
  </w:style>
  <w:style w:type="paragraph" w:styleId="5">
    <w:name w:val="heading 4"/>
    <w:basedOn w:val="1"/>
    <w:next w:val="1"/>
    <w:link w:val="22"/>
    <w:unhideWhenUsed/>
    <w:qFormat/>
    <w:uiPriority w:val="9"/>
    <w:pPr>
      <w:keepNext/>
      <w:keepLines/>
      <w:spacing w:before="80" w:after="40"/>
      <w:outlineLvl w:val="3"/>
    </w:pPr>
    <w:rPr>
      <w:rFonts w:eastAsiaTheme="majorEastAsia" w:cstheme="majorBidi"/>
      <w:i/>
      <w:iCs/>
      <w:color w:val="104862" w:themeColor="accent1" w:themeShade="BF"/>
    </w:rPr>
  </w:style>
  <w:style w:type="paragraph" w:styleId="6">
    <w:name w:val="heading 5"/>
    <w:basedOn w:val="1"/>
    <w:next w:val="1"/>
    <w:link w:val="23"/>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4"/>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5"/>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7"/>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annotation text"/>
    <w:basedOn w:val="1"/>
    <w:link w:val="38"/>
    <w:unhideWhenUsed/>
    <w:qFormat/>
    <w:uiPriority w:val="99"/>
    <w:pPr>
      <w:spacing w:line="240" w:lineRule="auto"/>
    </w:pPr>
    <w:rPr>
      <w:sz w:val="20"/>
      <w:szCs w:val="20"/>
    </w:rPr>
  </w:style>
  <w:style w:type="paragraph" w:styleId="12">
    <w:name w:val="annotation subject"/>
    <w:basedOn w:val="11"/>
    <w:next w:val="11"/>
    <w:link w:val="39"/>
    <w:semiHidden/>
    <w:unhideWhenUsed/>
    <w:qFormat/>
    <w:uiPriority w:val="99"/>
    <w:rPr>
      <w:b/>
      <w:bCs/>
    </w:rPr>
  </w:style>
  <w:style w:type="paragraph" w:styleId="13">
    <w:name w:val="Subtitle"/>
    <w:basedOn w:val="1"/>
    <w:next w:val="1"/>
    <w:link w:val="29"/>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8"/>
    <w:qFormat/>
    <w:uiPriority w:val="10"/>
    <w:pPr>
      <w:spacing w:after="80" w:line="240" w:lineRule="auto"/>
      <w:contextualSpacing/>
    </w:pPr>
    <w:rPr>
      <w:rFonts w:asciiTheme="majorHAnsi" w:hAnsiTheme="majorHAnsi" w:eastAsiaTheme="majorEastAsia" w:cstheme="majorBidi"/>
      <w:spacing w:val="-10"/>
      <w:kern w:val="28"/>
      <w:sz w:val="56"/>
      <w:szCs w:val="56"/>
    </w:rPr>
  </w:style>
  <w:style w:type="character" w:styleId="16">
    <w:name w:val="annotation reference"/>
    <w:basedOn w:val="15"/>
    <w:semiHidden/>
    <w:unhideWhenUsed/>
    <w:qFormat/>
    <w:uiPriority w:val="99"/>
    <w:rPr>
      <w:sz w:val="16"/>
      <w:szCs w:val="16"/>
    </w:rPr>
  </w:style>
  <w:style w:type="table" w:styleId="18">
    <w:name w:val="Table Grid"/>
    <w:basedOn w:val="1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
  </w:style>
  <w:style w:type="character" w:customStyle="1" w:styleId="19">
    <w:name w:val="Heading 1 Char"/>
    <w:basedOn w:val="15"/>
    <w:link w:val="2"/>
    <w:qFormat/>
    <w:uiPriority w:val="9"/>
    <w:rPr>
      <w:rFonts w:asciiTheme="majorHAnsi" w:hAnsiTheme="majorHAnsi" w:eastAsiaTheme="majorEastAsia" w:cstheme="majorBidi"/>
      <w:color w:val="104862" w:themeColor="accent1" w:themeShade="BF"/>
      <w:sz w:val="40"/>
      <w:szCs w:val="40"/>
    </w:rPr>
  </w:style>
  <w:style w:type="character" w:customStyle="1" w:styleId="20">
    <w:name w:val="Heading 2 Char"/>
    <w:basedOn w:val="15"/>
    <w:link w:val="3"/>
    <w:qFormat/>
    <w:uiPriority w:val="9"/>
    <w:rPr>
      <w:rFonts w:asciiTheme="majorHAnsi" w:hAnsiTheme="majorHAnsi" w:eastAsiaTheme="majorEastAsia" w:cstheme="majorBidi"/>
      <w:color w:val="104862" w:themeColor="accent1" w:themeShade="BF"/>
      <w:sz w:val="32"/>
      <w:szCs w:val="32"/>
    </w:rPr>
  </w:style>
  <w:style w:type="character" w:customStyle="1" w:styleId="21">
    <w:name w:val="Heading 3 Char"/>
    <w:basedOn w:val="15"/>
    <w:link w:val="4"/>
    <w:qFormat/>
    <w:uiPriority w:val="9"/>
    <w:rPr>
      <w:rFonts w:eastAsiaTheme="majorEastAsia" w:cstheme="majorBidi"/>
      <w:color w:val="104862" w:themeColor="accent1" w:themeShade="BF"/>
      <w:sz w:val="28"/>
      <w:szCs w:val="28"/>
    </w:rPr>
  </w:style>
  <w:style w:type="character" w:customStyle="1" w:styleId="22">
    <w:name w:val="Heading 4 Char"/>
    <w:basedOn w:val="15"/>
    <w:link w:val="5"/>
    <w:qFormat/>
    <w:uiPriority w:val="9"/>
    <w:rPr>
      <w:rFonts w:eastAsiaTheme="majorEastAsia" w:cstheme="majorBidi"/>
      <w:i/>
      <w:iCs/>
      <w:color w:val="104862" w:themeColor="accent1" w:themeShade="BF"/>
    </w:rPr>
  </w:style>
  <w:style w:type="character" w:customStyle="1" w:styleId="23">
    <w:name w:val="Heading 5 Char"/>
    <w:basedOn w:val="15"/>
    <w:link w:val="6"/>
    <w:qFormat/>
    <w:uiPriority w:val="9"/>
    <w:rPr>
      <w:rFonts w:eastAsiaTheme="majorEastAsia" w:cstheme="majorBidi"/>
      <w:color w:val="104862" w:themeColor="accent1" w:themeShade="BF"/>
    </w:rPr>
  </w:style>
  <w:style w:type="character" w:customStyle="1" w:styleId="24">
    <w:name w:val="Heading 6 Char"/>
    <w:basedOn w:val="15"/>
    <w:link w:val="7"/>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5">
    <w:name w:val="Heading 7 Char"/>
    <w:basedOn w:val="15"/>
    <w:link w:val="8"/>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Heading 8 Char"/>
    <w:basedOn w:val="15"/>
    <w:link w:val="9"/>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7">
    <w:name w:val="Heading 9 Char"/>
    <w:basedOn w:val="15"/>
    <w:link w:val="10"/>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8">
    <w:name w:val="Title Char"/>
    <w:basedOn w:val="15"/>
    <w:link w:val="14"/>
    <w:qFormat/>
    <w:uiPriority w:val="10"/>
    <w:rPr>
      <w:rFonts w:asciiTheme="majorHAnsi" w:hAnsiTheme="majorHAnsi" w:eastAsiaTheme="majorEastAsia" w:cstheme="majorBidi"/>
      <w:spacing w:val="-10"/>
      <w:kern w:val="28"/>
      <w:sz w:val="56"/>
      <w:szCs w:val="56"/>
    </w:rPr>
  </w:style>
  <w:style w:type="character" w:customStyle="1" w:styleId="29">
    <w:name w:val="Subtitle Char"/>
    <w:basedOn w:val="15"/>
    <w:link w:val="13"/>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character" w:customStyle="1" w:styleId="30">
    <w:name w:val="Intense Emphasis"/>
    <w:basedOn w:val="15"/>
    <w:qFormat/>
    <w:uiPriority w:val="21"/>
    <w:rPr>
      <w:i/>
      <w:iCs/>
      <w:color w:val="104862" w:themeColor="accent1" w:themeShade="BF"/>
    </w:rPr>
  </w:style>
  <w:style w:type="character" w:customStyle="1" w:styleId="31">
    <w:name w:val="Quote Char"/>
    <w:basedOn w:val="15"/>
    <w:link w:val="32"/>
    <w:uiPriority w:val="29"/>
    <w:rPr>
      <w:i/>
      <w:iCs/>
      <w:color w:val="404040" w:themeColor="text1" w:themeTint="BF"/>
      <w14:textFill>
        <w14:solidFill>
          <w14:schemeClr w14:val="tx1">
            <w14:lumMod w14:val="75000"/>
            <w14:lumOff w14:val="25000"/>
          </w14:schemeClr>
        </w14:solidFill>
      </w14:textFill>
    </w:rPr>
  </w:style>
  <w:style w:type="paragraph" w:styleId="32">
    <w:name w:val="Quote"/>
    <w:basedOn w:val="1"/>
    <w:next w:val="1"/>
    <w:link w:val="3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Intense Quote Char"/>
    <w:basedOn w:val="15"/>
    <w:link w:val="34"/>
    <w:qFormat/>
    <w:uiPriority w:val="30"/>
    <w:rPr>
      <w:i/>
      <w:iCs/>
      <w:color w:val="104862" w:themeColor="accent1" w:themeShade="BF"/>
    </w:rPr>
  </w:style>
  <w:style w:type="paragraph" w:styleId="34">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5">
    <w:name w:val="Intense Reference"/>
    <w:basedOn w:val="15"/>
    <w:qFormat/>
    <w:uiPriority w:val="32"/>
    <w:rPr>
      <w:b/>
      <w:bCs/>
      <w:smallCaps/>
      <w:color w:val="104862" w:themeColor="accent1" w:themeShade="BF"/>
      <w:spacing w:val="5"/>
    </w:rPr>
  </w:style>
  <w:style w:type="paragraph" w:styleId="36">
    <w:name w:val="List Paragraph"/>
    <w:basedOn w:val="1"/>
    <w:qFormat/>
    <w:uiPriority w:val="34"/>
    <w:pPr>
      <w:ind w:left="720"/>
      <w:contextualSpacing/>
    </w:pPr>
  </w:style>
  <w:style w:type="paragraph" w:customStyle="1" w:styleId="37">
    <w:name w:val="Revision"/>
    <w:hidden/>
    <w:semiHidden/>
    <w:qFormat/>
    <w:uiPriority w:val="99"/>
    <w:pPr>
      <w:spacing w:after="0" w:line="240" w:lineRule="auto"/>
    </w:pPr>
    <w:rPr>
      <w:rFonts w:asciiTheme="minorHAnsi" w:hAnsiTheme="minorHAnsi" w:eastAsiaTheme="minorEastAsia" w:cstheme="minorBidi"/>
      <w:sz w:val="24"/>
      <w:szCs w:val="24"/>
      <w:lang w:val="en-US" w:eastAsia="ja-JP" w:bidi="ar-SA"/>
    </w:rPr>
  </w:style>
  <w:style w:type="character" w:customStyle="1" w:styleId="38">
    <w:name w:val="Comment Text Char"/>
    <w:basedOn w:val="15"/>
    <w:link w:val="11"/>
    <w:uiPriority w:val="99"/>
    <w:rPr>
      <w:sz w:val="20"/>
      <w:szCs w:val="20"/>
    </w:rPr>
  </w:style>
  <w:style w:type="character" w:customStyle="1" w:styleId="39">
    <w:name w:val="Comment Subject Char"/>
    <w:basedOn w:val="38"/>
    <w:link w:val="12"/>
    <w:semiHidden/>
    <w:qFormat/>
    <w:uiPriority w:val="99"/>
    <w:rPr>
      <w:b/>
      <w:bCs/>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ScaleCrop>false</ScaleCrop>
  <LinksUpToDate>false</LinksUpToDate>
  <Application>WPS Office_10.1.0.6757_F1E327BC-269C-435d-A152-05C5408002CA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1900-01-00T00:00:00Z</dcterms:created>
  <dc:creator>Sonil Baberwal</dc:creator>
  <cp:lastModifiedBy>sonil</cp:lastModifiedBy>
  <dcterms:modified xsi:type="dcterms:W3CDTF">2024-10-04T19:55:13Z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1033-10.1.0.6757</vt:lpwstr>
  </property>
</Properties>
</file>